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1636" w14:textId="1D1E0CE6" w:rsidR="00A12B57" w:rsidRPr="00A12B57" w:rsidRDefault="00E933D1" w:rsidP="00A12B57">
      <w:pPr>
        <w:ind w:left="4956"/>
        <w:jc w:val="center"/>
        <w:rPr>
          <w:bCs/>
          <w:sz w:val="24"/>
          <w:szCs w:val="24"/>
        </w:rPr>
      </w:pPr>
      <w:r>
        <w:rPr>
          <w:bCs/>
          <w:sz w:val="24"/>
          <w:szCs w:val="24"/>
          <w:highlight w:val="yellow"/>
        </w:rPr>
        <w:t>Vorname Name</w:t>
      </w:r>
      <w:r w:rsidR="00A12B57" w:rsidRPr="004E3D15">
        <w:rPr>
          <w:bCs/>
          <w:sz w:val="24"/>
          <w:szCs w:val="24"/>
          <w:highlight w:val="yellow"/>
        </w:rPr>
        <w:t xml:space="preserve">, xxx, </w:t>
      </w:r>
      <w:proofErr w:type="spellStart"/>
      <w:r w:rsidR="00A12B57" w:rsidRPr="004E3D15">
        <w:rPr>
          <w:bCs/>
          <w:sz w:val="24"/>
          <w:szCs w:val="24"/>
          <w:highlight w:val="yellow"/>
        </w:rPr>
        <w:t>vvv</w:t>
      </w:r>
      <w:proofErr w:type="spellEnd"/>
      <w:r w:rsidR="00A12B57" w:rsidRPr="004E3D15">
        <w:rPr>
          <w:bCs/>
          <w:sz w:val="24"/>
          <w:szCs w:val="24"/>
          <w:highlight w:val="yellow"/>
        </w:rPr>
        <w:t>, Bern</w:t>
      </w:r>
    </w:p>
    <w:p w14:paraId="17DAD10F" w14:textId="196A52CC" w:rsidR="00A12B57" w:rsidRDefault="00A12B57">
      <w:pPr>
        <w:rPr>
          <w:b/>
          <w:sz w:val="28"/>
          <w:szCs w:val="28"/>
        </w:rPr>
      </w:pPr>
    </w:p>
    <w:p w14:paraId="410A2DA1" w14:textId="77777777" w:rsidR="00856C3D" w:rsidRDefault="00856C3D" w:rsidP="00A12B57">
      <w:pPr>
        <w:spacing w:after="0"/>
        <w:rPr>
          <w:bCs/>
          <w:sz w:val="22"/>
        </w:rPr>
      </w:pPr>
    </w:p>
    <w:p w14:paraId="1E0DF5D8" w14:textId="77777777" w:rsidR="00856C3D" w:rsidRDefault="00856C3D" w:rsidP="00A12B57">
      <w:pPr>
        <w:spacing w:after="0"/>
        <w:rPr>
          <w:bCs/>
          <w:sz w:val="22"/>
        </w:rPr>
      </w:pPr>
    </w:p>
    <w:p w14:paraId="5C0DF0A3" w14:textId="111389BA" w:rsidR="00D517F8" w:rsidRDefault="00D517F8" w:rsidP="00A12B57">
      <w:pPr>
        <w:spacing w:after="0"/>
        <w:rPr>
          <w:bCs/>
          <w:sz w:val="22"/>
        </w:rPr>
      </w:pPr>
      <w:r>
        <w:rPr>
          <w:bCs/>
          <w:sz w:val="22"/>
        </w:rPr>
        <w:t>EINSCHREIBEN</w:t>
      </w:r>
    </w:p>
    <w:p w14:paraId="27545C88" w14:textId="1860BF38" w:rsidR="00A12B57" w:rsidRPr="00EE7210" w:rsidRDefault="00D517F8" w:rsidP="00A12B57">
      <w:pPr>
        <w:spacing w:after="0"/>
        <w:rPr>
          <w:bCs/>
          <w:sz w:val="22"/>
          <w:highlight w:val="yellow"/>
        </w:rPr>
      </w:pPr>
      <w:r w:rsidRPr="00EE7210">
        <w:rPr>
          <w:bCs/>
          <w:sz w:val="22"/>
          <w:highlight w:val="yellow"/>
        </w:rPr>
        <w:t>Bauinspektorat</w:t>
      </w:r>
      <w:r w:rsidR="00A54E4E" w:rsidRPr="00EE7210">
        <w:rPr>
          <w:bCs/>
          <w:sz w:val="22"/>
          <w:highlight w:val="yellow"/>
        </w:rPr>
        <w:t xml:space="preserve"> der </w:t>
      </w:r>
      <w:r w:rsidR="00C64A17" w:rsidRPr="00EE7210">
        <w:rPr>
          <w:bCs/>
          <w:sz w:val="22"/>
          <w:highlight w:val="yellow"/>
        </w:rPr>
        <w:t>Stadt Bern</w:t>
      </w:r>
    </w:p>
    <w:p w14:paraId="55140B85" w14:textId="05711BBE" w:rsidR="00A12B57" w:rsidRPr="00EE7210" w:rsidRDefault="00C64A17" w:rsidP="00A12B57">
      <w:pPr>
        <w:spacing w:after="0"/>
        <w:rPr>
          <w:bCs/>
          <w:sz w:val="22"/>
          <w:highlight w:val="yellow"/>
        </w:rPr>
      </w:pPr>
      <w:r w:rsidRPr="00EE7210">
        <w:rPr>
          <w:bCs/>
          <w:sz w:val="22"/>
          <w:highlight w:val="yellow"/>
        </w:rPr>
        <w:t>Bundesgasse 38</w:t>
      </w:r>
    </w:p>
    <w:p w14:paraId="6F79A0E4" w14:textId="1B4C9F26" w:rsidR="00A12B57" w:rsidRPr="00EE7210" w:rsidRDefault="00A12B57" w:rsidP="00A12B57">
      <w:pPr>
        <w:spacing w:after="0"/>
        <w:rPr>
          <w:bCs/>
          <w:sz w:val="22"/>
          <w:highlight w:val="yellow"/>
        </w:rPr>
      </w:pPr>
      <w:r w:rsidRPr="00EE7210">
        <w:rPr>
          <w:bCs/>
          <w:sz w:val="22"/>
          <w:highlight w:val="yellow"/>
        </w:rPr>
        <w:t>Postfach</w:t>
      </w:r>
    </w:p>
    <w:p w14:paraId="65824174" w14:textId="15E05962" w:rsidR="00A12B57" w:rsidRPr="003613D3" w:rsidRDefault="00A12B57" w:rsidP="00A12B57">
      <w:pPr>
        <w:spacing w:after="0"/>
        <w:rPr>
          <w:bCs/>
          <w:sz w:val="22"/>
        </w:rPr>
      </w:pPr>
      <w:r w:rsidRPr="00EE7210">
        <w:rPr>
          <w:bCs/>
          <w:sz w:val="22"/>
          <w:highlight w:val="yellow"/>
        </w:rPr>
        <w:t>300</w:t>
      </w:r>
      <w:r w:rsidR="00C64A17" w:rsidRPr="00EE7210">
        <w:rPr>
          <w:bCs/>
          <w:sz w:val="22"/>
          <w:highlight w:val="yellow"/>
        </w:rPr>
        <w:t>1</w:t>
      </w:r>
      <w:r w:rsidRPr="00EE7210">
        <w:rPr>
          <w:bCs/>
          <w:sz w:val="22"/>
          <w:highlight w:val="yellow"/>
        </w:rPr>
        <w:t xml:space="preserve"> Bern</w:t>
      </w:r>
      <w:r w:rsidRPr="003613D3">
        <w:rPr>
          <w:bCs/>
          <w:sz w:val="22"/>
        </w:rPr>
        <w:t xml:space="preserve"> </w:t>
      </w:r>
    </w:p>
    <w:p w14:paraId="3D98398D" w14:textId="13E4AD11" w:rsidR="00A12B57" w:rsidRPr="003613D3" w:rsidRDefault="00A12B57" w:rsidP="00A12B57">
      <w:pPr>
        <w:spacing w:after="0"/>
        <w:rPr>
          <w:bCs/>
          <w:sz w:val="22"/>
        </w:rPr>
      </w:pPr>
    </w:p>
    <w:p w14:paraId="1A9671E0" w14:textId="189B597F" w:rsidR="00856C3D" w:rsidRDefault="00856C3D" w:rsidP="00A12B57">
      <w:pPr>
        <w:spacing w:after="0"/>
        <w:rPr>
          <w:bCs/>
          <w:sz w:val="22"/>
        </w:rPr>
      </w:pPr>
    </w:p>
    <w:p w14:paraId="1AC51CAE" w14:textId="77777777" w:rsidR="00856C3D" w:rsidRPr="003613D3" w:rsidRDefault="00856C3D" w:rsidP="00A12B57">
      <w:pPr>
        <w:spacing w:after="0"/>
        <w:rPr>
          <w:bCs/>
          <w:sz w:val="22"/>
        </w:rPr>
      </w:pPr>
    </w:p>
    <w:p w14:paraId="3C74A3CD" w14:textId="0EEDF660" w:rsidR="00A12B57" w:rsidRPr="003613D3" w:rsidRDefault="00A12B57" w:rsidP="00A12B57">
      <w:pPr>
        <w:spacing w:after="0"/>
        <w:rPr>
          <w:bCs/>
          <w:sz w:val="22"/>
        </w:rPr>
      </w:pPr>
      <w:r w:rsidRPr="00EE7210">
        <w:rPr>
          <w:bCs/>
          <w:sz w:val="22"/>
          <w:highlight w:val="yellow"/>
        </w:rPr>
        <w:t>Bern</w:t>
      </w:r>
      <w:r w:rsidRPr="00062522">
        <w:rPr>
          <w:bCs/>
          <w:sz w:val="22"/>
          <w:highlight w:val="yellow"/>
        </w:rPr>
        <w:t xml:space="preserve">, </w:t>
      </w:r>
      <w:proofErr w:type="spellStart"/>
      <w:r w:rsidRPr="00062522">
        <w:rPr>
          <w:bCs/>
          <w:sz w:val="22"/>
          <w:highlight w:val="yellow"/>
        </w:rPr>
        <w:t>vv</w:t>
      </w:r>
      <w:proofErr w:type="spellEnd"/>
      <w:r w:rsidRPr="00337382">
        <w:rPr>
          <w:bCs/>
          <w:sz w:val="22"/>
          <w:highlight w:val="yellow"/>
        </w:rPr>
        <w:t xml:space="preserve">. </w:t>
      </w:r>
      <w:proofErr w:type="spellStart"/>
      <w:r w:rsidR="00337382" w:rsidRPr="00337382">
        <w:rPr>
          <w:bCs/>
          <w:sz w:val="22"/>
          <w:highlight w:val="yellow"/>
        </w:rPr>
        <w:t>Xx</w:t>
      </w:r>
      <w:proofErr w:type="spellEnd"/>
      <w:r w:rsidR="00337382">
        <w:rPr>
          <w:bCs/>
          <w:sz w:val="22"/>
        </w:rPr>
        <w:t>.</w:t>
      </w:r>
      <w:r w:rsidR="00C64A17">
        <w:rPr>
          <w:bCs/>
          <w:sz w:val="22"/>
        </w:rPr>
        <w:t xml:space="preserve"> 20</w:t>
      </w:r>
      <w:r w:rsidR="009D403A">
        <w:rPr>
          <w:bCs/>
          <w:sz w:val="22"/>
        </w:rPr>
        <w:t>24</w:t>
      </w:r>
    </w:p>
    <w:p w14:paraId="4C3947D5" w14:textId="77777777" w:rsidR="00A12B57" w:rsidRPr="003613D3" w:rsidRDefault="00A12B57" w:rsidP="00A12B57">
      <w:pPr>
        <w:spacing w:after="0"/>
        <w:rPr>
          <w:bCs/>
          <w:sz w:val="22"/>
        </w:rPr>
      </w:pPr>
    </w:p>
    <w:p w14:paraId="283E198B" w14:textId="77777777" w:rsidR="00856C3D" w:rsidRPr="003613D3" w:rsidRDefault="00856C3D">
      <w:pPr>
        <w:rPr>
          <w:b/>
          <w:sz w:val="22"/>
        </w:rPr>
      </w:pPr>
    </w:p>
    <w:p w14:paraId="353E3F20" w14:textId="77777777" w:rsidR="00C64A17" w:rsidRDefault="00C64A17">
      <w:pPr>
        <w:rPr>
          <w:b/>
          <w:sz w:val="28"/>
          <w:szCs w:val="28"/>
        </w:rPr>
      </w:pPr>
      <w:r>
        <w:rPr>
          <w:b/>
          <w:sz w:val="28"/>
          <w:szCs w:val="28"/>
        </w:rPr>
        <w:t>Baupolizeiliche Anzeige</w:t>
      </w:r>
    </w:p>
    <w:p w14:paraId="50DD1593" w14:textId="3A15046C" w:rsidR="007379B8" w:rsidRPr="002101CE" w:rsidRDefault="00C64A17">
      <w:pPr>
        <w:rPr>
          <w:b/>
          <w:sz w:val="28"/>
          <w:szCs w:val="28"/>
        </w:rPr>
      </w:pPr>
      <w:r>
        <w:rPr>
          <w:b/>
          <w:sz w:val="28"/>
          <w:szCs w:val="28"/>
        </w:rPr>
        <w:t xml:space="preserve">Rechtswidrige Bagatellverfahren für adaptive Mobilfunkantenne Standort: </w:t>
      </w:r>
      <w:r w:rsidRPr="00C64A17">
        <w:rPr>
          <w:b/>
          <w:sz w:val="28"/>
          <w:szCs w:val="28"/>
          <w:highlight w:val="yellow"/>
        </w:rPr>
        <w:t>Musterweg xx</w:t>
      </w:r>
    </w:p>
    <w:p w14:paraId="393A1A31" w14:textId="77777777" w:rsidR="00A12B57" w:rsidRDefault="00A12B57" w:rsidP="003613D3">
      <w:pPr>
        <w:spacing w:after="0"/>
        <w:rPr>
          <w:sz w:val="22"/>
        </w:rPr>
      </w:pPr>
    </w:p>
    <w:p w14:paraId="04081F84" w14:textId="223CFB92" w:rsidR="00A12B57" w:rsidRDefault="00A12B57" w:rsidP="003613D3">
      <w:pPr>
        <w:spacing w:after="0"/>
        <w:rPr>
          <w:sz w:val="22"/>
        </w:rPr>
      </w:pPr>
      <w:r>
        <w:rPr>
          <w:sz w:val="22"/>
        </w:rPr>
        <w:t xml:space="preserve">Sehr geehrte </w:t>
      </w:r>
      <w:r w:rsidR="00C64A17">
        <w:rPr>
          <w:sz w:val="22"/>
        </w:rPr>
        <w:t>Damen und Herren</w:t>
      </w:r>
    </w:p>
    <w:p w14:paraId="5448A6D1" w14:textId="77777777" w:rsidR="003613D3" w:rsidRDefault="003613D3" w:rsidP="003613D3">
      <w:pPr>
        <w:spacing w:after="0"/>
        <w:rPr>
          <w:sz w:val="22"/>
        </w:rPr>
      </w:pPr>
    </w:p>
    <w:p w14:paraId="4CC2E053" w14:textId="496A30E2" w:rsidR="00904CE7" w:rsidRDefault="00C64A17" w:rsidP="007379B8">
      <w:pPr>
        <w:spacing w:after="200"/>
        <w:rPr>
          <w:sz w:val="22"/>
        </w:rPr>
      </w:pPr>
      <w:r>
        <w:rPr>
          <w:sz w:val="22"/>
        </w:rPr>
        <w:t>Hiermit erstatte</w:t>
      </w:r>
      <w:r w:rsidR="004E3D15" w:rsidRPr="004E3D15">
        <w:rPr>
          <w:sz w:val="22"/>
          <w:highlight w:val="yellow"/>
        </w:rPr>
        <w:t>(</w:t>
      </w:r>
      <w:r w:rsidRPr="004E3D15">
        <w:rPr>
          <w:sz w:val="22"/>
          <w:highlight w:val="yellow"/>
        </w:rPr>
        <w:t>n</w:t>
      </w:r>
      <w:r w:rsidR="004E3D15" w:rsidRPr="004E3D15">
        <w:rPr>
          <w:sz w:val="22"/>
          <w:highlight w:val="yellow"/>
        </w:rPr>
        <w:t>)</w:t>
      </w:r>
      <w:r>
        <w:rPr>
          <w:sz w:val="22"/>
        </w:rPr>
        <w:t xml:space="preserve"> </w:t>
      </w:r>
      <w:r w:rsidR="004E3D15">
        <w:rPr>
          <w:sz w:val="22"/>
        </w:rPr>
        <w:t xml:space="preserve">ich </w:t>
      </w:r>
      <w:r w:rsidR="004E3D15" w:rsidRPr="004E3D15">
        <w:rPr>
          <w:sz w:val="22"/>
          <w:highlight w:val="yellow"/>
        </w:rPr>
        <w:t>(</w:t>
      </w:r>
      <w:r w:rsidRPr="004E3D15">
        <w:rPr>
          <w:sz w:val="22"/>
          <w:highlight w:val="yellow"/>
        </w:rPr>
        <w:t>wir</w:t>
      </w:r>
      <w:r w:rsidR="004E3D15" w:rsidRPr="004E3D15">
        <w:rPr>
          <w:sz w:val="22"/>
          <w:highlight w:val="yellow"/>
        </w:rPr>
        <w:t>)</w:t>
      </w:r>
      <w:r>
        <w:rPr>
          <w:sz w:val="22"/>
        </w:rPr>
        <w:t xml:space="preserve"> eine baupolizeiliche Anzeige gegen die am </w:t>
      </w:r>
      <w:r w:rsidRPr="00904CE7">
        <w:rPr>
          <w:sz w:val="22"/>
          <w:highlight w:val="yellow"/>
        </w:rPr>
        <w:t>Musterweg xx</w:t>
      </w:r>
      <w:r>
        <w:rPr>
          <w:sz w:val="22"/>
        </w:rPr>
        <w:t xml:space="preserve"> im sogenannten Bagatellverfahren bewilligte adaptive Mobilfunkantenne des Mobilfunkdienstes 5G (New Radio). Diese Auswechslung der bestehenden Anlage mit einer </w:t>
      </w:r>
      <w:r w:rsidRPr="004E3D15">
        <w:rPr>
          <w:sz w:val="22"/>
          <w:u w:val="single"/>
        </w:rPr>
        <w:t>neuen adaptiven Antenne</w:t>
      </w:r>
      <w:r>
        <w:rPr>
          <w:sz w:val="22"/>
        </w:rPr>
        <w:t xml:space="preserve"> ist gemäss Art 1a </w:t>
      </w:r>
      <w:proofErr w:type="spellStart"/>
      <w:r>
        <w:rPr>
          <w:sz w:val="22"/>
        </w:rPr>
        <w:t>BauG</w:t>
      </w:r>
      <w:proofErr w:type="spellEnd"/>
      <w:r>
        <w:rPr>
          <w:sz w:val="22"/>
        </w:rPr>
        <w:t xml:space="preserve"> (BSG 721.0) baubewilligungspflichtig</w:t>
      </w:r>
      <w:r w:rsidR="001E7BC3">
        <w:rPr>
          <w:sz w:val="22"/>
        </w:rPr>
        <w:t>. Zusätzlich wurde durch das Amt für Umwelt und Energie bestätigt, dass die angezeigte Antenne mit dem Korrekturfaktor (=Sendeleistungserhöhung) aufgeschaltet wurde (Liste in Beilage).</w:t>
      </w:r>
    </w:p>
    <w:p w14:paraId="78BD9B8A" w14:textId="75B146F9" w:rsidR="00AA0FFB" w:rsidRPr="00904CE7" w:rsidRDefault="001E7BC3" w:rsidP="00904CE7">
      <w:pPr>
        <w:spacing w:after="200"/>
        <w:rPr>
          <w:sz w:val="22"/>
        </w:rPr>
      </w:pPr>
      <w:r>
        <w:rPr>
          <w:sz w:val="22"/>
        </w:rPr>
        <w:t xml:space="preserve">Gemäss dem rechtskräftigen Urteil des Verwaltungsgerichts BE vom 21. August 2023 (Büren an der Aare 100.2021.300U) kommt es dabei zu höherer und anderer Strahlung, als ursprünglich bewilligt wurde. Die Aufschaltung und Sendeleistungserhöhung ist daher rechtswidrig erfolgt </w:t>
      </w:r>
      <w:r w:rsidR="00904CE7">
        <w:rPr>
          <w:sz w:val="22"/>
        </w:rPr>
        <w:t xml:space="preserve">und </w:t>
      </w:r>
      <w:r w:rsidR="00AA0FFB">
        <w:rPr>
          <w:rFonts w:eastAsia="Cambria" w:cs="Arial"/>
          <w:color w:val="000000" w:themeColor="text1"/>
          <w:sz w:val="22"/>
        </w:rPr>
        <w:t>der</w:t>
      </w:r>
      <w:r w:rsidR="00904CE7">
        <w:rPr>
          <w:rFonts w:eastAsia="Cambria" w:cs="Arial"/>
          <w:color w:val="000000" w:themeColor="text1"/>
          <w:sz w:val="22"/>
        </w:rPr>
        <w:t xml:space="preserve"> </w:t>
      </w:r>
      <w:r w:rsidR="00904CE7" w:rsidRPr="00904CE7">
        <w:rPr>
          <w:rFonts w:eastAsia="Cambria" w:cs="Arial"/>
          <w:color w:val="000000" w:themeColor="text1"/>
          <w:sz w:val="22"/>
          <w:highlight w:val="yellow"/>
        </w:rPr>
        <w:t>(den)</w:t>
      </w:r>
      <w:r w:rsidR="00AA0FFB">
        <w:rPr>
          <w:rFonts w:eastAsia="Cambria" w:cs="Arial"/>
          <w:color w:val="000000" w:themeColor="text1"/>
          <w:sz w:val="22"/>
        </w:rPr>
        <w:t xml:space="preserve"> anzeigenden Person</w:t>
      </w:r>
      <w:r w:rsidR="00904CE7" w:rsidRPr="00904CE7">
        <w:rPr>
          <w:rFonts w:eastAsia="Cambria" w:cs="Arial"/>
          <w:color w:val="000000" w:themeColor="text1"/>
          <w:sz w:val="22"/>
          <w:highlight w:val="yellow"/>
        </w:rPr>
        <w:t>(en)</w:t>
      </w:r>
      <w:r w:rsidR="00AA0FFB" w:rsidRPr="00AA0FFB">
        <w:rPr>
          <w:rFonts w:eastAsia="Cambria" w:cs="Arial"/>
          <w:color w:val="000000" w:themeColor="text1"/>
          <w:sz w:val="22"/>
        </w:rPr>
        <w:t xml:space="preserve"> </w:t>
      </w:r>
      <w:r w:rsidR="00904CE7">
        <w:rPr>
          <w:rFonts w:eastAsia="Cambria" w:cs="Arial"/>
          <w:color w:val="000000" w:themeColor="text1"/>
          <w:sz w:val="22"/>
        </w:rPr>
        <w:t>wird</w:t>
      </w:r>
      <w:r w:rsidR="00D77E0C">
        <w:rPr>
          <w:rFonts w:eastAsia="Cambria" w:cs="Arial"/>
          <w:color w:val="000000" w:themeColor="text1"/>
          <w:sz w:val="22"/>
        </w:rPr>
        <w:t xml:space="preserve"> </w:t>
      </w:r>
      <w:r w:rsidR="00AA0FFB" w:rsidRPr="00AA0FFB">
        <w:rPr>
          <w:rFonts w:eastAsia="Cambria" w:cs="Arial"/>
          <w:color w:val="000000" w:themeColor="text1"/>
          <w:sz w:val="22"/>
        </w:rPr>
        <w:t xml:space="preserve">das Recht auf Überprüfung der Einhaltung der Strahlengrenzwerte </w:t>
      </w:r>
      <w:r w:rsidR="00AA0FFB" w:rsidRPr="00AA0FFB">
        <w:rPr>
          <w:rFonts w:eastAsia="Cambria" w:cs="Arial"/>
          <w:color w:val="000000" w:themeColor="text1"/>
          <w:sz w:val="22"/>
          <w:u w:val="single"/>
        </w:rPr>
        <w:t>nicht</w:t>
      </w:r>
      <w:r w:rsidR="00AA0FFB" w:rsidRPr="00AA0FFB">
        <w:rPr>
          <w:rFonts w:eastAsia="Cambria" w:cs="Arial"/>
          <w:color w:val="000000" w:themeColor="text1"/>
          <w:sz w:val="22"/>
        </w:rPr>
        <w:t xml:space="preserve"> gewährt. Dieses eigenschützenswerte Interesse de</w:t>
      </w:r>
      <w:r w:rsidR="004E3D15">
        <w:rPr>
          <w:rFonts w:eastAsia="Cambria" w:cs="Arial"/>
          <w:color w:val="000000" w:themeColor="text1"/>
          <w:sz w:val="22"/>
        </w:rPr>
        <w:t>r betroffenen Nachbarn</w:t>
      </w:r>
      <w:r w:rsidR="00AA0FFB" w:rsidRPr="00AA0FFB">
        <w:rPr>
          <w:rFonts w:eastAsia="Cambria" w:cs="Arial"/>
          <w:color w:val="000000" w:themeColor="text1"/>
          <w:sz w:val="22"/>
        </w:rPr>
        <w:t xml:space="preserve"> wurde jedoch durch das Bundesgericht bereits mehrmals bestätigt. Letztmals wurde im Entscheid vom 3. September 2019 </w:t>
      </w:r>
      <w:r w:rsidR="00AA0FFB">
        <w:rPr>
          <w:rFonts w:eastAsia="Cambria" w:cs="Arial"/>
          <w:color w:val="000000" w:themeColor="text1"/>
          <w:sz w:val="22"/>
        </w:rPr>
        <w:t>(</w:t>
      </w:r>
      <w:r w:rsidR="00AA0FFB" w:rsidRPr="00AA0FFB">
        <w:rPr>
          <w:rFonts w:eastAsia="Cambria" w:cs="Arial"/>
          <w:color w:val="000000" w:themeColor="text1"/>
          <w:sz w:val="22"/>
        </w:rPr>
        <w:t>BGE 1C_97/2018</w:t>
      </w:r>
      <w:r w:rsidR="00AA0FFB">
        <w:rPr>
          <w:rFonts w:eastAsia="Cambria" w:cs="Arial"/>
          <w:color w:val="000000" w:themeColor="text1"/>
          <w:sz w:val="22"/>
        </w:rPr>
        <w:t>)</w:t>
      </w:r>
      <w:r w:rsidR="00AA0FFB" w:rsidRPr="00AA0FFB">
        <w:rPr>
          <w:rFonts w:eastAsia="Cambria" w:cs="Arial"/>
          <w:color w:val="000000" w:themeColor="text1"/>
          <w:sz w:val="22"/>
        </w:rPr>
        <w:t xml:space="preserve"> unter Punkt 6.2 festgehalten:</w:t>
      </w:r>
    </w:p>
    <w:p w14:paraId="1D04E92F" w14:textId="342842CC" w:rsidR="00AA0FFB" w:rsidRDefault="00AA0FFB" w:rsidP="00AA0FFB">
      <w:pPr>
        <w:tabs>
          <w:tab w:val="left" w:pos="-1702"/>
        </w:tabs>
        <w:spacing w:after="0" w:line="240" w:lineRule="auto"/>
        <w:rPr>
          <w:rFonts w:eastAsia="Cambria" w:cs="Arial"/>
          <w:i/>
          <w:iCs/>
          <w:color w:val="000000" w:themeColor="text1"/>
          <w:sz w:val="22"/>
        </w:rPr>
      </w:pPr>
      <w:r w:rsidRPr="00AA0FFB">
        <w:rPr>
          <w:rFonts w:eastAsia="Cambria" w:cs="Arial"/>
          <w:i/>
          <w:iCs/>
          <w:color w:val="000000" w:themeColor="text1"/>
          <w:sz w:val="22"/>
        </w:rPr>
        <w:t xml:space="preserve">…Gemäss der Rechtsprechung des Bundesgerichts haben Anwohner von </w:t>
      </w:r>
      <w:proofErr w:type="spellStart"/>
      <w:r w:rsidRPr="00AA0FFB">
        <w:rPr>
          <w:rFonts w:eastAsia="Cambria" w:cs="Arial"/>
          <w:i/>
          <w:iCs/>
          <w:color w:val="000000" w:themeColor="text1"/>
          <w:sz w:val="22"/>
        </w:rPr>
        <w:t>Mobilfunkanla</w:t>
      </w:r>
      <w:proofErr w:type="spellEnd"/>
      <w:r w:rsidRPr="00AA0FFB">
        <w:rPr>
          <w:rFonts w:eastAsia="Cambria" w:cs="Arial"/>
          <w:i/>
          <w:iCs/>
          <w:color w:val="000000" w:themeColor="text1"/>
          <w:sz w:val="22"/>
        </w:rPr>
        <w:t xml:space="preserve">-gen ein schutzwürdiges Interesse, </w:t>
      </w:r>
      <w:bookmarkStart w:id="0" w:name="_Hlk58779017"/>
      <w:r w:rsidRPr="00AA0FFB">
        <w:rPr>
          <w:rFonts w:eastAsia="Cambria" w:cs="Arial"/>
          <w:i/>
          <w:iCs/>
          <w:color w:val="000000" w:themeColor="text1"/>
          <w:sz w:val="22"/>
        </w:rPr>
        <w:t>dass die Einhaltung der Grenzwerte der NISV durch objektive und überprüfbare bauliche Vorkehrungen gewährleistet wird…</w:t>
      </w:r>
    </w:p>
    <w:p w14:paraId="07975EAF" w14:textId="77777777" w:rsidR="00AA0FFB" w:rsidRPr="00AA0FFB" w:rsidRDefault="00AA0FFB" w:rsidP="00AA0FFB">
      <w:pPr>
        <w:tabs>
          <w:tab w:val="left" w:pos="-1702"/>
        </w:tabs>
        <w:spacing w:after="0" w:line="240" w:lineRule="auto"/>
        <w:rPr>
          <w:rFonts w:eastAsia="Cambria" w:cs="Arial"/>
          <w:i/>
          <w:iCs/>
          <w:color w:val="000000" w:themeColor="text1"/>
          <w:sz w:val="22"/>
        </w:rPr>
      </w:pPr>
    </w:p>
    <w:bookmarkEnd w:id="0"/>
    <w:p w14:paraId="5B6442B9" w14:textId="5FF97391" w:rsidR="00AA0FFB" w:rsidRDefault="00AA0FFB" w:rsidP="00AA0FFB">
      <w:pPr>
        <w:spacing w:after="200" w:line="240" w:lineRule="auto"/>
        <w:rPr>
          <w:sz w:val="22"/>
        </w:rPr>
      </w:pPr>
      <w:r>
        <w:rPr>
          <w:sz w:val="22"/>
        </w:rPr>
        <w:t>Zudem legt die Verordnung über den Schutz vor nichtionisierender Strahlung NISV (SR 814.710) fest wie die Behö</w:t>
      </w:r>
      <w:r w:rsidR="009A6934">
        <w:rPr>
          <w:sz w:val="22"/>
        </w:rPr>
        <w:t>rde die Einhaltung der Strahlengrenzwerte zu überwachen und zu kontrollieren hat. Auch dieser Sachverhalt wurde im erwähnten Bundesgerichtsurteil bestätigt:</w:t>
      </w:r>
    </w:p>
    <w:p w14:paraId="7856F7F6" w14:textId="439DD551" w:rsidR="00F777C0" w:rsidRPr="00F777C0" w:rsidRDefault="00F777C0" w:rsidP="00F777C0">
      <w:pPr>
        <w:rPr>
          <w:i/>
          <w:iCs/>
          <w:sz w:val="22"/>
        </w:rPr>
      </w:pPr>
      <w:r w:rsidRPr="00F777C0">
        <w:rPr>
          <w:i/>
          <w:iCs/>
          <w:sz w:val="22"/>
        </w:rPr>
        <w:t xml:space="preserve">… So hat zur Koordination des Vollzugs der NISV das BAFU als Fachbehörde für die Umwelt geeignete Mess- und Berechnungsmethoden zu empfehlen (Art. 12 Abs. 2 Satz 2 NISV; vgl. auch Art. 12 Abs. 1 und 2 </w:t>
      </w:r>
      <w:proofErr w:type="spellStart"/>
      <w:r w:rsidRPr="00F777C0">
        <w:rPr>
          <w:i/>
          <w:iCs/>
          <w:sz w:val="22"/>
        </w:rPr>
        <w:t>lit</w:t>
      </w:r>
      <w:proofErr w:type="spellEnd"/>
      <w:r w:rsidRPr="00F777C0">
        <w:rPr>
          <w:i/>
          <w:iCs/>
          <w:sz w:val="22"/>
        </w:rPr>
        <w:t xml:space="preserve">. B der Organisationsverordnung für das Eidg. </w:t>
      </w:r>
      <w:r w:rsidRPr="00F777C0">
        <w:rPr>
          <w:i/>
          <w:iCs/>
          <w:sz w:val="22"/>
        </w:rPr>
        <w:lastRenderedPageBreak/>
        <w:t xml:space="preserve">Departement für Umwelt, Verkehr, Energie und Kommunikation vom 6. Dezember 1999; SR </w:t>
      </w:r>
      <w:proofErr w:type="gramStart"/>
      <w:r w:rsidRPr="00F777C0">
        <w:rPr>
          <w:i/>
          <w:iCs/>
          <w:sz w:val="22"/>
        </w:rPr>
        <w:t>172.217.1)…</w:t>
      </w:r>
      <w:proofErr w:type="gramEnd"/>
    </w:p>
    <w:p w14:paraId="17746779" w14:textId="682C4CFF" w:rsidR="009A6934" w:rsidRDefault="00F777C0" w:rsidP="00F777C0">
      <w:pPr>
        <w:rPr>
          <w:sz w:val="22"/>
        </w:rPr>
      </w:pPr>
      <w:r w:rsidRPr="00F777C0">
        <w:rPr>
          <w:sz w:val="22"/>
        </w:rPr>
        <w:t>Das BAFU ist dieser gesetzlichen Verpflichtung zur Koordination des Vollzuges und Empfehlung von Mess- und Berechnungsmethoden für die neuen adaptiven Antennen (</w:t>
      </w:r>
      <w:proofErr w:type="spellStart"/>
      <w:r w:rsidRPr="00F777C0">
        <w:rPr>
          <w:sz w:val="22"/>
        </w:rPr>
        <w:t>beamforming</w:t>
      </w:r>
      <w:proofErr w:type="spellEnd"/>
      <w:r w:rsidRPr="00F777C0">
        <w:rPr>
          <w:sz w:val="22"/>
        </w:rPr>
        <w:t xml:space="preserve">) der 5G-Technik </w:t>
      </w:r>
      <w:r w:rsidR="009A6934">
        <w:rPr>
          <w:sz w:val="22"/>
        </w:rPr>
        <w:t xml:space="preserve">erst </w:t>
      </w:r>
      <w:r w:rsidR="008F63C8">
        <w:rPr>
          <w:sz w:val="22"/>
        </w:rPr>
        <w:t xml:space="preserve">am 23. Februar 2021 </w:t>
      </w:r>
      <w:r w:rsidR="009A6934">
        <w:rPr>
          <w:sz w:val="22"/>
        </w:rPr>
        <w:t>nachgekommen.</w:t>
      </w:r>
    </w:p>
    <w:p w14:paraId="79DF8E55" w14:textId="0EDC8724" w:rsidR="00CA60F3" w:rsidRDefault="00CA60F3" w:rsidP="00F777C0">
      <w:pPr>
        <w:rPr>
          <w:sz w:val="22"/>
        </w:rPr>
      </w:pPr>
      <w:r>
        <w:rPr>
          <w:sz w:val="22"/>
        </w:rPr>
        <w:t>Die Baubehörde hat somit bereits formell beim angezeigten Standort die Auswechslung der bestehenden Anlage nicht gemäss den Vollzugsbestimmungen</w:t>
      </w:r>
      <w:r w:rsidR="00802319">
        <w:rPr>
          <w:sz w:val="22"/>
        </w:rPr>
        <w:t xml:space="preserve"> </w:t>
      </w:r>
      <w:r w:rsidR="00802319" w:rsidRPr="0026624D">
        <w:rPr>
          <w:sz w:val="22"/>
          <w:u w:val="single"/>
        </w:rPr>
        <w:t>für adaptive Antennen</w:t>
      </w:r>
      <w:r>
        <w:rPr>
          <w:sz w:val="22"/>
        </w:rPr>
        <w:t xml:space="preserve"> geprüft. Entscheidend ist, dass materiell in diesen vorgestellten Vollzugsempfehlungen des BAFU, ein</w:t>
      </w:r>
      <w:r w:rsidR="003C532D">
        <w:rPr>
          <w:sz w:val="22"/>
        </w:rPr>
        <w:t xml:space="preserve"> «</w:t>
      </w:r>
      <w:r w:rsidR="001E7BC3">
        <w:rPr>
          <w:sz w:val="22"/>
        </w:rPr>
        <w:t>Korrekturfaktor</w:t>
      </w:r>
      <w:r w:rsidR="003C532D">
        <w:rPr>
          <w:sz w:val="22"/>
        </w:rPr>
        <w:t xml:space="preserve">» ermöglicht wird. Damit kommt es zu einer Erhöhung der Sendeleistung und indirekt zu einer Überschreitung der gesetzlichen Grenzwerte. </w:t>
      </w:r>
    </w:p>
    <w:p w14:paraId="047AD61F" w14:textId="472FD48A" w:rsidR="003C532D" w:rsidRDefault="003C532D" w:rsidP="00F777C0">
      <w:pPr>
        <w:rPr>
          <w:rFonts w:cs="Arial"/>
          <w:bCs/>
          <w:sz w:val="22"/>
        </w:rPr>
      </w:pPr>
      <w:r>
        <w:rPr>
          <w:sz w:val="22"/>
        </w:rPr>
        <w:t>Das Verwaltungsgericht des Kantons Bern hat diesen Sachverhalt</w:t>
      </w:r>
      <w:r w:rsidR="001E7BC3">
        <w:rPr>
          <w:sz w:val="22"/>
        </w:rPr>
        <w:t xml:space="preserve"> ebenfalls</w:t>
      </w:r>
      <w:r>
        <w:rPr>
          <w:sz w:val="22"/>
        </w:rPr>
        <w:t xml:space="preserve"> in seinem Urteil vom 6. Januar 2021</w:t>
      </w:r>
      <w:r w:rsidRPr="003C532D">
        <w:rPr>
          <w:rFonts w:cs="Arial"/>
          <w:color w:val="000000" w:themeColor="text1"/>
          <w:sz w:val="22"/>
        </w:rPr>
        <w:t>(</w:t>
      </w:r>
      <w:r w:rsidR="001E7BC3">
        <w:rPr>
          <w:rFonts w:cs="Arial"/>
          <w:color w:val="000000" w:themeColor="text1"/>
          <w:sz w:val="22"/>
        </w:rPr>
        <w:t xml:space="preserve">Steffisburg </w:t>
      </w:r>
      <w:r w:rsidRPr="003C532D">
        <w:rPr>
          <w:rFonts w:cs="Arial"/>
          <w:bCs/>
          <w:sz w:val="22"/>
        </w:rPr>
        <w:t>100.2020.27U)</w:t>
      </w:r>
      <w:r>
        <w:rPr>
          <w:sz w:val="22"/>
        </w:rPr>
        <w:t xml:space="preserve"> bereits bestätigt. </w:t>
      </w:r>
      <w:r w:rsidRPr="003C532D">
        <w:rPr>
          <w:rFonts w:cs="Arial"/>
          <w:bCs/>
          <w:sz w:val="22"/>
        </w:rPr>
        <w:t xml:space="preserve">Sollte tatsächlich </w:t>
      </w:r>
      <w:r>
        <w:rPr>
          <w:rFonts w:cs="Arial"/>
          <w:bCs/>
          <w:sz w:val="22"/>
        </w:rPr>
        <w:t>ein «</w:t>
      </w:r>
      <w:r w:rsidR="001E7BC3">
        <w:rPr>
          <w:rFonts w:cs="Arial"/>
          <w:bCs/>
          <w:sz w:val="22"/>
        </w:rPr>
        <w:t>Korrekturfaktor</w:t>
      </w:r>
      <w:r>
        <w:rPr>
          <w:rFonts w:cs="Arial"/>
          <w:bCs/>
          <w:sz w:val="22"/>
        </w:rPr>
        <w:t xml:space="preserve">» </w:t>
      </w:r>
      <w:r w:rsidRPr="003C532D">
        <w:rPr>
          <w:rFonts w:cs="Arial"/>
          <w:bCs/>
          <w:sz w:val="22"/>
        </w:rPr>
        <w:t xml:space="preserve">eingeführt werden ist für das </w:t>
      </w:r>
      <w:r w:rsidR="00D506D2">
        <w:rPr>
          <w:rFonts w:cs="Arial"/>
          <w:bCs/>
          <w:sz w:val="22"/>
        </w:rPr>
        <w:t>G</w:t>
      </w:r>
      <w:r w:rsidRPr="003C532D">
        <w:rPr>
          <w:rFonts w:cs="Arial"/>
          <w:bCs/>
          <w:sz w:val="22"/>
        </w:rPr>
        <w:t>ericht im erwähnten Entscheid eine höhere Sendeleistung und stärkere Strahlungsimmissionen unbestritten (siehe Pkt. 4.8; Seite 12+13). In diesem Fall müsste gemäss Verwaltungsgericht jedoch diese Leistungserhöhung in einem separaten und ordentlichen Verfahren (</w:t>
      </w:r>
      <w:r w:rsidR="001E7BC3">
        <w:rPr>
          <w:rFonts w:cs="Arial"/>
          <w:bCs/>
          <w:sz w:val="22"/>
        </w:rPr>
        <w:t>keine</w:t>
      </w:r>
      <w:r w:rsidRPr="003C532D">
        <w:rPr>
          <w:rFonts w:cs="Arial"/>
          <w:bCs/>
          <w:sz w:val="22"/>
        </w:rPr>
        <w:t xml:space="preserve"> Bagatell</w:t>
      </w:r>
      <w:r w:rsidR="001E7BC3">
        <w:rPr>
          <w:rFonts w:cs="Arial"/>
          <w:bCs/>
          <w:sz w:val="22"/>
        </w:rPr>
        <w:t>e</w:t>
      </w:r>
      <w:r w:rsidRPr="003C532D">
        <w:rPr>
          <w:rFonts w:cs="Arial"/>
          <w:bCs/>
          <w:sz w:val="22"/>
        </w:rPr>
        <w:t xml:space="preserve">) erfolgen. Dies bedeutet, dass bei der tatsächlichen Einführung eines </w:t>
      </w:r>
      <w:r w:rsidR="001E7BC3">
        <w:rPr>
          <w:rFonts w:cs="Arial"/>
          <w:bCs/>
          <w:sz w:val="22"/>
        </w:rPr>
        <w:t>Korrekturfaktors</w:t>
      </w:r>
      <w:r w:rsidRPr="003C532D">
        <w:rPr>
          <w:rFonts w:cs="Arial"/>
          <w:bCs/>
          <w:sz w:val="22"/>
        </w:rPr>
        <w:t xml:space="preserve">, </w:t>
      </w:r>
      <w:r>
        <w:rPr>
          <w:rFonts w:cs="Arial"/>
          <w:bCs/>
          <w:sz w:val="22"/>
        </w:rPr>
        <w:t>am vorliegenden Standort ein Baugesuch</w:t>
      </w:r>
      <w:r w:rsidRPr="003C532D">
        <w:rPr>
          <w:rFonts w:cs="Arial"/>
          <w:bCs/>
          <w:sz w:val="22"/>
        </w:rPr>
        <w:t xml:space="preserve"> eingereicht und</w:t>
      </w:r>
      <w:r>
        <w:rPr>
          <w:rFonts w:cs="Arial"/>
          <w:bCs/>
          <w:sz w:val="22"/>
        </w:rPr>
        <w:t xml:space="preserve"> </w:t>
      </w:r>
      <w:r w:rsidRPr="003C532D">
        <w:rPr>
          <w:rFonts w:cs="Arial"/>
          <w:bCs/>
          <w:sz w:val="22"/>
        </w:rPr>
        <w:t>publiziert werden m</w:t>
      </w:r>
      <w:r w:rsidR="004E3D15">
        <w:rPr>
          <w:rFonts w:cs="Arial"/>
          <w:bCs/>
          <w:sz w:val="22"/>
        </w:rPr>
        <w:t>uss</w:t>
      </w:r>
      <w:r w:rsidRPr="003C532D">
        <w:rPr>
          <w:rFonts w:cs="Arial"/>
          <w:bCs/>
          <w:sz w:val="22"/>
        </w:rPr>
        <w:t>.</w:t>
      </w:r>
      <w:r w:rsidR="004E3D15">
        <w:rPr>
          <w:rFonts w:cs="Arial"/>
          <w:bCs/>
          <w:sz w:val="22"/>
        </w:rPr>
        <w:t xml:space="preserve"> Die Mobilfunkbranche ist zudem auf höhere Grenzwerte angewiesen, da mit den heute deklarierten Sendeleistungen kein Mobilfunkdienst 5G (mehr Daten schneller übermitteln) betrieben werden kann. </w:t>
      </w:r>
      <w:r w:rsidRPr="003C532D">
        <w:rPr>
          <w:rFonts w:cs="Arial"/>
          <w:bCs/>
          <w:sz w:val="22"/>
        </w:rPr>
        <w:t xml:space="preserve"> </w:t>
      </w:r>
    </w:p>
    <w:p w14:paraId="38BB11BB" w14:textId="6F06953D" w:rsidR="003C532D" w:rsidRDefault="003C532D" w:rsidP="00F777C0">
      <w:pPr>
        <w:rPr>
          <w:rFonts w:cs="Arial"/>
          <w:bCs/>
          <w:sz w:val="22"/>
        </w:rPr>
      </w:pPr>
      <w:r>
        <w:rPr>
          <w:rFonts w:cs="Arial"/>
          <w:bCs/>
          <w:sz w:val="22"/>
        </w:rPr>
        <w:t xml:space="preserve">Auch kann die Behörde </w:t>
      </w:r>
      <w:r w:rsidR="00904CE7">
        <w:rPr>
          <w:rFonts w:cs="Arial"/>
          <w:bCs/>
          <w:sz w:val="22"/>
        </w:rPr>
        <w:t>vorliegend keine</w:t>
      </w:r>
      <w:r>
        <w:rPr>
          <w:rFonts w:cs="Arial"/>
          <w:bCs/>
          <w:sz w:val="22"/>
        </w:rPr>
        <w:t xml:space="preserve"> </w:t>
      </w:r>
      <w:r w:rsidR="00856C3D">
        <w:rPr>
          <w:rFonts w:cs="Arial"/>
          <w:bCs/>
          <w:sz w:val="22"/>
        </w:rPr>
        <w:t xml:space="preserve">Bagatellgründe gemäss Anhang </w:t>
      </w:r>
      <w:r w:rsidR="00050C2E">
        <w:rPr>
          <w:rFonts w:cs="Arial"/>
          <w:bCs/>
          <w:sz w:val="22"/>
        </w:rPr>
        <w:t xml:space="preserve">1 </w:t>
      </w:r>
      <w:r w:rsidR="00904CE7">
        <w:rPr>
          <w:rFonts w:cs="Arial"/>
          <w:bCs/>
          <w:sz w:val="22"/>
        </w:rPr>
        <w:t xml:space="preserve">Ziffer 62 Abs. 5 geltend machen, da die Sendeleistung erhöht und das Antennendiagramm gegenüber der </w:t>
      </w:r>
      <w:r w:rsidR="0026624D">
        <w:rPr>
          <w:rFonts w:cs="Arial"/>
          <w:bCs/>
          <w:sz w:val="22"/>
        </w:rPr>
        <w:t>b</w:t>
      </w:r>
      <w:r w:rsidR="00904CE7">
        <w:rPr>
          <w:rFonts w:cs="Arial"/>
          <w:bCs/>
          <w:sz w:val="22"/>
        </w:rPr>
        <w:t>estehenden Antenne geändert wurde.</w:t>
      </w:r>
      <w:r w:rsidR="005E0C5D">
        <w:rPr>
          <w:rFonts w:cs="Arial"/>
          <w:bCs/>
          <w:sz w:val="22"/>
        </w:rPr>
        <w:t xml:space="preserve"> Da die Umrüstung rechtswidrig erfolgte, hat die Baupolizeibehörde zudem die Wiederherstellung des Rechtsmässigen Zustandes gemäss Art. 46 Abs. 1 </w:t>
      </w:r>
      <w:proofErr w:type="spellStart"/>
      <w:r w:rsidR="005E0C5D">
        <w:rPr>
          <w:rFonts w:cs="Arial"/>
          <w:bCs/>
          <w:sz w:val="22"/>
        </w:rPr>
        <w:t>BauG</w:t>
      </w:r>
      <w:proofErr w:type="spellEnd"/>
      <w:r w:rsidR="005E0C5D">
        <w:rPr>
          <w:rFonts w:cs="Arial"/>
          <w:bCs/>
          <w:sz w:val="22"/>
        </w:rPr>
        <w:t xml:space="preserve"> (BSG 721.0) und ein vorsorgliches Benützungsverbot des im neuen Frequenzband betriebenen Mobilfunkdienst 5G (New Radio) zu verfügen.</w:t>
      </w:r>
    </w:p>
    <w:p w14:paraId="262320DF" w14:textId="422D1B78" w:rsidR="00904CE7" w:rsidRDefault="00904CE7" w:rsidP="00F777C0">
      <w:pPr>
        <w:rPr>
          <w:rFonts w:cs="Arial"/>
          <w:bCs/>
          <w:sz w:val="22"/>
        </w:rPr>
      </w:pPr>
      <w:r>
        <w:rPr>
          <w:rFonts w:cs="Arial"/>
          <w:bCs/>
          <w:sz w:val="22"/>
        </w:rPr>
        <w:t>Sollte das Bauinspektorat aufgrund des geschilderten Sachverhaltes wieder erwarten nicht von Amtes wegen ein nachträgliches Baubewilligungsverfahren mit öffentlicher Publikation durchführen, bitte</w:t>
      </w:r>
      <w:r w:rsidRPr="00904CE7">
        <w:rPr>
          <w:rFonts w:cs="Arial"/>
          <w:bCs/>
          <w:sz w:val="22"/>
          <w:highlight w:val="yellow"/>
        </w:rPr>
        <w:t>(n)</w:t>
      </w:r>
      <w:r>
        <w:rPr>
          <w:rFonts w:cs="Arial"/>
          <w:bCs/>
          <w:sz w:val="22"/>
        </w:rPr>
        <w:t xml:space="preserve"> ich </w:t>
      </w:r>
      <w:r w:rsidRPr="00904CE7">
        <w:rPr>
          <w:rFonts w:cs="Arial"/>
          <w:bCs/>
          <w:sz w:val="22"/>
          <w:highlight w:val="yellow"/>
        </w:rPr>
        <w:t>(wir)</w:t>
      </w:r>
      <w:r>
        <w:rPr>
          <w:rFonts w:cs="Arial"/>
          <w:bCs/>
          <w:sz w:val="22"/>
        </w:rPr>
        <w:t xml:space="preserve"> Sie um eine anfechtbare Verfügung</w:t>
      </w:r>
      <w:r w:rsidR="00A2430B">
        <w:rPr>
          <w:rFonts w:cs="Arial"/>
          <w:bCs/>
          <w:sz w:val="22"/>
        </w:rPr>
        <w:t>.</w:t>
      </w:r>
    </w:p>
    <w:p w14:paraId="57839A8B" w14:textId="72D25CAC" w:rsidR="00A2430B" w:rsidRPr="003C532D" w:rsidRDefault="00A2430B" w:rsidP="00F777C0">
      <w:pPr>
        <w:rPr>
          <w:sz w:val="22"/>
        </w:rPr>
      </w:pPr>
      <w:r>
        <w:rPr>
          <w:rFonts w:cs="Arial"/>
          <w:bCs/>
          <w:sz w:val="22"/>
        </w:rPr>
        <w:t>Besten Dank für Ihre Kenntnisnahme und Bemühungen.</w:t>
      </w:r>
    </w:p>
    <w:p w14:paraId="58A5B812" w14:textId="689381AC" w:rsidR="00F777C0" w:rsidRDefault="00F777C0" w:rsidP="00426CDE">
      <w:pPr>
        <w:tabs>
          <w:tab w:val="left" w:pos="6237"/>
        </w:tabs>
        <w:spacing w:after="0" w:line="276" w:lineRule="auto"/>
        <w:rPr>
          <w:rFonts w:cs="Arial"/>
          <w:sz w:val="22"/>
        </w:rPr>
      </w:pPr>
    </w:p>
    <w:p w14:paraId="7DE29C57" w14:textId="2E41FF9A" w:rsidR="00F777C0" w:rsidRDefault="00F777C0" w:rsidP="00426CDE">
      <w:pPr>
        <w:tabs>
          <w:tab w:val="left" w:pos="6237"/>
        </w:tabs>
        <w:spacing w:after="0" w:line="276" w:lineRule="auto"/>
        <w:rPr>
          <w:rFonts w:cs="Arial"/>
          <w:sz w:val="22"/>
        </w:rPr>
      </w:pPr>
      <w:r>
        <w:rPr>
          <w:rFonts w:cs="Arial"/>
          <w:sz w:val="22"/>
        </w:rPr>
        <w:t>Freundliche Grüsse</w:t>
      </w:r>
    </w:p>
    <w:p w14:paraId="34F77669" w14:textId="14866E38" w:rsidR="00F777C0" w:rsidRDefault="00F777C0" w:rsidP="00426CDE">
      <w:pPr>
        <w:tabs>
          <w:tab w:val="left" w:pos="6237"/>
        </w:tabs>
        <w:spacing w:after="0" w:line="276" w:lineRule="auto"/>
        <w:rPr>
          <w:rFonts w:cs="Arial"/>
          <w:sz w:val="22"/>
        </w:rPr>
      </w:pPr>
    </w:p>
    <w:p w14:paraId="7CC8F88B" w14:textId="44F3F95C" w:rsidR="00F777C0" w:rsidRDefault="00F777C0" w:rsidP="00426CDE">
      <w:pPr>
        <w:tabs>
          <w:tab w:val="left" w:pos="6237"/>
        </w:tabs>
        <w:spacing w:after="0" w:line="276" w:lineRule="auto"/>
        <w:rPr>
          <w:rFonts w:cs="Arial"/>
          <w:sz w:val="22"/>
        </w:rPr>
      </w:pPr>
    </w:p>
    <w:p w14:paraId="0DA73AE7" w14:textId="38D21BA3" w:rsidR="00DA58B4" w:rsidRDefault="00E933D1" w:rsidP="00426CDE">
      <w:pPr>
        <w:tabs>
          <w:tab w:val="left" w:pos="6237"/>
        </w:tabs>
        <w:spacing w:after="0" w:line="276" w:lineRule="auto"/>
        <w:rPr>
          <w:rFonts w:cs="Arial"/>
          <w:sz w:val="22"/>
        </w:rPr>
      </w:pPr>
      <w:r>
        <w:rPr>
          <w:rFonts w:cs="Arial"/>
          <w:sz w:val="22"/>
          <w:highlight w:val="yellow"/>
        </w:rPr>
        <w:t>Vorname Name</w:t>
      </w:r>
      <w:r w:rsidR="00B33CF7">
        <w:rPr>
          <w:rFonts w:cs="Arial"/>
          <w:sz w:val="22"/>
        </w:rPr>
        <w:br/>
      </w:r>
      <w:r w:rsidR="00B33CF7">
        <w:rPr>
          <w:rFonts w:cs="Arial"/>
          <w:sz w:val="22"/>
        </w:rPr>
        <w:br/>
        <w:t>Beilage: Liste AUE mit 387 Antennen mit rechtswidrig erhöhten Sendeleistungen</w:t>
      </w:r>
      <w:r w:rsidR="00B33CF7">
        <w:rPr>
          <w:rFonts w:cs="Arial"/>
          <w:sz w:val="22"/>
        </w:rPr>
        <w:br/>
      </w:r>
      <w:r w:rsidR="008C7FA3">
        <w:rPr>
          <w:rFonts w:cs="Arial"/>
          <w:sz w:val="22"/>
        </w:rPr>
        <w:br/>
        <w:t xml:space="preserve">Weitere Informationen: </w:t>
      </w:r>
      <w:hyperlink r:id="rId6" w:history="1">
        <w:r w:rsidR="008C7FA3" w:rsidRPr="00834252">
          <w:rPr>
            <w:rStyle w:val="Hyperlink"/>
            <w:rFonts w:cs="Arial"/>
            <w:sz w:val="22"/>
          </w:rPr>
          <w:t>https://www.vereinwir.ch/5g-systematisches-und-rechtswidriges-handeln-handlungsaufforderung</w:t>
        </w:r>
      </w:hyperlink>
      <w:r w:rsidR="008C7FA3">
        <w:rPr>
          <w:rFonts w:cs="Arial"/>
          <w:sz w:val="22"/>
        </w:rPr>
        <w:br/>
      </w:r>
    </w:p>
    <w:p w14:paraId="0A783B8E" w14:textId="06A295DA" w:rsidR="00337382" w:rsidRPr="00426CDE" w:rsidRDefault="00671E20" w:rsidP="00426CDE">
      <w:pPr>
        <w:tabs>
          <w:tab w:val="left" w:pos="6237"/>
        </w:tabs>
        <w:spacing w:after="0" w:line="276" w:lineRule="auto"/>
        <w:rPr>
          <w:rFonts w:cs="Arial"/>
          <w:sz w:val="22"/>
        </w:rPr>
      </w:pPr>
      <w:hyperlink r:id="rId7" w:history="1">
        <w:r w:rsidR="00B33CF7" w:rsidRPr="00834252">
          <w:rPr>
            <w:rStyle w:val="Hyperlink"/>
            <w:rFonts w:cs="Arial"/>
            <w:sz w:val="22"/>
          </w:rPr>
          <w:t>https://www.vereinwir.ch/wp-content/uploads/2024/01/Brief-und-Liste-von-AUE-mit-386-rechtswidrig-in-Betrieb-genommenen-MF-Anlagen-im-Kanton-BE.pdf</w:t>
        </w:r>
      </w:hyperlink>
      <w:r w:rsidR="00B33CF7">
        <w:rPr>
          <w:rFonts w:cs="Arial"/>
          <w:sz w:val="22"/>
        </w:rPr>
        <w:t xml:space="preserve"> </w:t>
      </w:r>
      <w:r w:rsidR="00B33CF7">
        <w:rPr>
          <w:rFonts w:cs="Arial"/>
          <w:sz w:val="22"/>
        </w:rPr>
        <w:br/>
      </w:r>
      <w:r w:rsidR="00B33CF7">
        <w:rPr>
          <w:rFonts w:cs="Arial"/>
          <w:sz w:val="22"/>
        </w:rPr>
        <w:br/>
      </w:r>
      <w:hyperlink r:id="rId8" w:history="1">
        <w:r w:rsidR="00B33CF7" w:rsidRPr="00834252">
          <w:rPr>
            <w:rStyle w:val="Hyperlink"/>
            <w:rFonts w:cs="Arial"/>
            <w:sz w:val="22"/>
          </w:rPr>
          <w:t>https://www.vereinwir.ch/wp-content/uploads/2024/01/Excel-Liste-AUE-mit-rechtswidrig-in-Betrieb-genommenen-MF-Anlagen-im-Kanton-BE-1.xlsx</w:t>
        </w:r>
      </w:hyperlink>
      <w:r w:rsidR="00B33CF7">
        <w:rPr>
          <w:rFonts w:cs="Arial"/>
          <w:sz w:val="22"/>
        </w:rPr>
        <w:t xml:space="preserve"> </w:t>
      </w:r>
      <w:r w:rsidR="00B33CF7">
        <w:rPr>
          <w:rFonts w:cs="Arial"/>
          <w:sz w:val="22"/>
        </w:rPr>
        <w:br/>
      </w:r>
      <w:r w:rsidR="00B33CF7">
        <w:rPr>
          <w:rFonts w:cs="Arial"/>
          <w:sz w:val="22"/>
        </w:rPr>
        <w:lastRenderedPageBreak/>
        <w:br/>
      </w:r>
    </w:p>
    <w:sectPr w:rsidR="00337382" w:rsidRPr="00426C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3A0F"/>
    <w:multiLevelType w:val="hybridMultilevel"/>
    <w:tmpl w:val="06E267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6BB59C4"/>
    <w:multiLevelType w:val="hybridMultilevel"/>
    <w:tmpl w:val="64E656C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043165719">
    <w:abstractNumId w:val="1"/>
  </w:num>
  <w:num w:numId="2" w16cid:durableId="155295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64" w:dllVersion="6" w:nlCheck="1" w:checkStyle="1"/>
  <w:activeWritingStyle w:appName="MSWord" w:lang="de-CH" w:vendorID="64" w:dllVersion="0" w:nlCheck="1" w:checkStyle="0"/>
  <w:activeWritingStyle w:appName="MSWord" w:lang="de-CH"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B8"/>
    <w:rsid w:val="00050C2E"/>
    <w:rsid w:val="00062522"/>
    <w:rsid w:val="000A3BED"/>
    <w:rsid w:val="00196A2B"/>
    <w:rsid w:val="001E7BC3"/>
    <w:rsid w:val="002101CE"/>
    <w:rsid w:val="0023612B"/>
    <w:rsid w:val="00260E19"/>
    <w:rsid w:val="0026624D"/>
    <w:rsid w:val="002F11C0"/>
    <w:rsid w:val="002F1D35"/>
    <w:rsid w:val="00337382"/>
    <w:rsid w:val="00356F65"/>
    <w:rsid w:val="003613D3"/>
    <w:rsid w:val="00396AF3"/>
    <w:rsid w:val="003C532D"/>
    <w:rsid w:val="00426CDE"/>
    <w:rsid w:val="004A3F5A"/>
    <w:rsid w:val="004B6C59"/>
    <w:rsid w:val="004E3D15"/>
    <w:rsid w:val="005803BE"/>
    <w:rsid w:val="005C775D"/>
    <w:rsid w:val="005E0C5D"/>
    <w:rsid w:val="00617F28"/>
    <w:rsid w:val="00671E20"/>
    <w:rsid w:val="00695125"/>
    <w:rsid w:val="00705771"/>
    <w:rsid w:val="007379B8"/>
    <w:rsid w:val="007B6553"/>
    <w:rsid w:val="00802319"/>
    <w:rsid w:val="00804C3A"/>
    <w:rsid w:val="00856C3D"/>
    <w:rsid w:val="008C7FA3"/>
    <w:rsid w:val="008F63C8"/>
    <w:rsid w:val="00904CE7"/>
    <w:rsid w:val="00927B5D"/>
    <w:rsid w:val="009A13DA"/>
    <w:rsid w:val="009A6934"/>
    <w:rsid w:val="009D403A"/>
    <w:rsid w:val="00A01627"/>
    <w:rsid w:val="00A12B57"/>
    <w:rsid w:val="00A1316E"/>
    <w:rsid w:val="00A2430B"/>
    <w:rsid w:val="00A54E4E"/>
    <w:rsid w:val="00AA0FFB"/>
    <w:rsid w:val="00AC0B61"/>
    <w:rsid w:val="00B00385"/>
    <w:rsid w:val="00B33CF7"/>
    <w:rsid w:val="00B8216E"/>
    <w:rsid w:val="00B973BE"/>
    <w:rsid w:val="00C64A17"/>
    <w:rsid w:val="00C942C8"/>
    <w:rsid w:val="00CA60F3"/>
    <w:rsid w:val="00CD188A"/>
    <w:rsid w:val="00D506D2"/>
    <w:rsid w:val="00D517F8"/>
    <w:rsid w:val="00D77E0C"/>
    <w:rsid w:val="00DA58B4"/>
    <w:rsid w:val="00E933D1"/>
    <w:rsid w:val="00EA41C8"/>
    <w:rsid w:val="00EE7210"/>
    <w:rsid w:val="00F4527A"/>
    <w:rsid w:val="00F777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1B36"/>
  <w15:docId w15:val="{989CF5A6-19A0-41DC-A741-7E6C1256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6C59"/>
    <w:rPr>
      <w:rFonts w:ascii="Arial" w:hAnsi="Arial"/>
      <w:sz w:val="19"/>
    </w:rPr>
  </w:style>
  <w:style w:type="paragraph" w:styleId="berschrift1">
    <w:name w:val="heading 1"/>
    <w:basedOn w:val="Standard"/>
    <w:next w:val="Standard"/>
    <w:link w:val="berschrift1Zchn"/>
    <w:uiPriority w:val="9"/>
    <w:qFormat/>
    <w:rsid w:val="009A13DA"/>
    <w:pPr>
      <w:keepNext/>
      <w:keepLines/>
      <w:spacing w:before="240" w:after="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196A2B"/>
    <w:pPr>
      <w:keepNext/>
      <w:keepLines/>
      <w:spacing w:before="40" w:after="0"/>
      <w:outlineLvl w:val="1"/>
    </w:pPr>
    <w:rPr>
      <w:rFonts w:eastAsiaTheme="majorEastAsia"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A13DA"/>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9A13DA"/>
    <w:rPr>
      <w:rFonts w:ascii="Arial" w:eastAsiaTheme="majorEastAsia" w:hAnsi="Arial"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196A2B"/>
    <w:rPr>
      <w:rFonts w:ascii="Arial" w:eastAsiaTheme="majorEastAsia" w:hAnsi="Arial" w:cstheme="majorBidi"/>
      <w:color w:val="2F5496" w:themeColor="accent1" w:themeShade="BF"/>
      <w:sz w:val="26"/>
      <w:szCs w:val="26"/>
    </w:rPr>
  </w:style>
  <w:style w:type="paragraph" w:styleId="Titel">
    <w:name w:val="Title"/>
    <w:basedOn w:val="Standard"/>
    <w:next w:val="Standard"/>
    <w:link w:val="TitelZchn"/>
    <w:uiPriority w:val="10"/>
    <w:qFormat/>
    <w:rsid w:val="00196A2B"/>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196A2B"/>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196A2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96A2B"/>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4B6C59"/>
    <w:rPr>
      <w:i/>
      <w:iCs/>
      <w:color w:val="404040" w:themeColor="text1" w:themeTint="BF"/>
    </w:rPr>
  </w:style>
  <w:style w:type="character" w:styleId="IntensiveHervorhebung">
    <w:name w:val="Intense Emphasis"/>
    <w:basedOn w:val="Absatz-Standardschriftart"/>
    <w:uiPriority w:val="21"/>
    <w:qFormat/>
    <w:rsid w:val="004B6C59"/>
    <w:rPr>
      <w:i/>
      <w:iCs/>
      <w:color w:val="4472C4" w:themeColor="accent1"/>
    </w:rPr>
  </w:style>
  <w:style w:type="character" w:styleId="Fett">
    <w:name w:val="Strong"/>
    <w:basedOn w:val="Absatz-Standardschriftart"/>
    <w:uiPriority w:val="22"/>
    <w:qFormat/>
    <w:rsid w:val="004B6C59"/>
    <w:rPr>
      <w:b/>
      <w:bCs/>
    </w:rPr>
  </w:style>
  <w:style w:type="paragraph" w:styleId="Zitat">
    <w:name w:val="Quote"/>
    <w:basedOn w:val="Standard"/>
    <w:next w:val="Standard"/>
    <w:link w:val="ZitatZchn"/>
    <w:uiPriority w:val="29"/>
    <w:qFormat/>
    <w:rsid w:val="004B6C59"/>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B6C59"/>
    <w:rPr>
      <w:rFonts w:ascii="Arial" w:hAnsi="Arial"/>
      <w:i/>
      <w:iCs/>
      <w:color w:val="404040" w:themeColor="text1" w:themeTint="BF"/>
      <w:sz w:val="19"/>
    </w:rPr>
  </w:style>
  <w:style w:type="character" w:styleId="SchwacherVerweis">
    <w:name w:val="Subtle Reference"/>
    <w:basedOn w:val="Absatz-Standardschriftart"/>
    <w:uiPriority w:val="31"/>
    <w:qFormat/>
    <w:rsid w:val="004B6C59"/>
    <w:rPr>
      <w:smallCaps/>
      <w:color w:val="5A5A5A" w:themeColor="text1" w:themeTint="A5"/>
    </w:rPr>
  </w:style>
  <w:style w:type="character" w:styleId="IntensiverVerweis">
    <w:name w:val="Intense Reference"/>
    <w:basedOn w:val="Absatz-Standardschriftart"/>
    <w:uiPriority w:val="32"/>
    <w:qFormat/>
    <w:rsid w:val="004B6C59"/>
    <w:rPr>
      <w:b/>
      <w:bCs/>
      <w:smallCaps/>
      <w:color w:val="4472C4" w:themeColor="accent1"/>
      <w:spacing w:val="5"/>
    </w:rPr>
  </w:style>
  <w:style w:type="character" w:styleId="Buchtitel">
    <w:name w:val="Book Title"/>
    <w:basedOn w:val="Absatz-Standardschriftart"/>
    <w:uiPriority w:val="33"/>
    <w:qFormat/>
    <w:rsid w:val="004B6C59"/>
    <w:rPr>
      <w:b/>
      <w:bCs/>
      <w:i/>
      <w:iCs/>
      <w:spacing w:val="5"/>
    </w:rPr>
  </w:style>
  <w:style w:type="paragraph" w:styleId="Listenabsatz">
    <w:name w:val="List Paragraph"/>
    <w:basedOn w:val="Standard"/>
    <w:uiPriority w:val="34"/>
    <w:qFormat/>
    <w:rsid w:val="004B6C59"/>
    <w:pPr>
      <w:ind w:left="720"/>
      <w:contextualSpacing/>
    </w:pPr>
  </w:style>
  <w:style w:type="character" w:styleId="Hyperlink">
    <w:name w:val="Hyperlink"/>
    <w:basedOn w:val="Absatz-Standardschriftart"/>
    <w:uiPriority w:val="99"/>
    <w:unhideWhenUsed/>
    <w:rsid w:val="00356F65"/>
    <w:rPr>
      <w:color w:val="0563C1" w:themeColor="hyperlink"/>
      <w:u w:val="single"/>
    </w:rPr>
  </w:style>
  <w:style w:type="paragraph" w:styleId="Sprechblasentext">
    <w:name w:val="Balloon Text"/>
    <w:basedOn w:val="Standard"/>
    <w:link w:val="SprechblasentextZchn"/>
    <w:uiPriority w:val="99"/>
    <w:semiHidden/>
    <w:unhideWhenUsed/>
    <w:rsid w:val="00356F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6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einwir.ch/wp-content/uploads/2024/01/Excel-Liste-AUE-mit-rechtswidrig-in-Betrieb-genommenen-MF-Anlagen-im-Kanton-BE-1.xlsx" TargetMode="External"/><Relationship Id="rId3" Type="http://schemas.openxmlformats.org/officeDocument/2006/relationships/styles" Target="styles.xml"/><Relationship Id="rId7" Type="http://schemas.openxmlformats.org/officeDocument/2006/relationships/hyperlink" Target="https://www.vereinwir.ch/wp-content/uploads/2024/01/Brief-und-Liste-von-AUE-mit-386-rechtswidrig-in-Betrieb-genommenen-MF-Anlagen-im-Kanton-B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ereinwir.ch/5g-systematisches-und-rechtswidriges-handeln-handlungsaufforderu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2E0D-1CBF-45F6-A58A-5B985AD4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4743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Laubscher Daniel</dc:creator>
  <cp:lastModifiedBy>Beatrice Hohl</cp:lastModifiedBy>
  <cp:revision>2</cp:revision>
  <dcterms:created xsi:type="dcterms:W3CDTF">2024-02-01T16:20:00Z</dcterms:created>
  <dcterms:modified xsi:type="dcterms:W3CDTF">2024-02-01T16:20:00Z</dcterms:modified>
</cp:coreProperties>
</file>