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0DCD1" w14:textId="77777777" w:rsidR="008C75AB" w:rsidRPr="008C75AB" w:rsidRDefault="008C75AB" w:rsidP="008C75AB">
      <w:pPr>
        <w:rPr>
          <w:b/>
          <w:bCs/>
          <w:sz w:val="28"/>
          <w:szCs w:val="28"/>
        </w:rPr>
      </w:pPr>
      <w:r w:rsidRPr="008C75AB">
        <w:rPr>
          <w:b/>
          <w:bCs/>
          <w:sz w:val="28"/>
          <w:szCs w:val="28"/>
        </w:rPr>
        <w:t>Textbausteinkasten</w:t>
      </w:r>
    </w:p>
    <w:p w14:paraId="0CC4D659" w14:textId="4AF371E5" w:rsidR="008C75AB" w:rsidRPr="008C75AB" w:rsidRDefault="008C75AB" w:rsidP="008C75AB">
      <w:pPr>
        <w:rPr>
          <w:b/>
          <w:bCs/>
          <w:sz w:val="32"/>
          <w:szCs w:val="32"/>
        </w:rPr>
      </w:pPr>
      <w:r w:rsidRPr="008C75AB">
        <w:rPr>
          <w:b/>
          <w:bCs/>
          <w:sz w:val="32"/>
          <w:szCs w:val="32"/>
        </w:rPr>
        <w:t xml:space="preserve">Argumente für Einsprachen, Briefe und </w:t>
      </w:r>
      <w:proofErr w:type="spellStart"/>
      <w:r w:rsidRPr="008C75AB">
        <w:rPr>
          <w:b/>
          <w:bCs/>
          <w:sz w:val="32"/>
          <w:szCs w:val="32"/>
        </w:rPr>
        <w:t>Vernehmlassungsantworten</w:t>
      </w:r>
      <w:proofErr w:type="spellEnd"/>
    </w:p>
    <w:p w14:paraId="765FBB5E" w14:textId="77777777" w:rsidR="008C75AB" w:rsidRPr="00980F2D" w:rsidRDefault="008C75AB" w:rsidP="008C75AB">
      <w:pPr>
        <w:rPr>
          <w:b/>
          <w:bCs/>
        </w:rPr>
      </w:pPr>
      <w:r w:rsidRPr="00980F2D">
        <w:rPr>
          <w:b/>
          <w:bCs/>
        </w:rPr>
        <w:t>Anleitung: Wie AKTION 10 genutzt wird</w:t>
      </w:r>
    </w:p>
    <w:p w14:paraId="1A54978E" w14:textId="19B65760" w:rsidR="008C75AB" w:rsidRPr="00980F2D" w:rsidRDefault="008C75AB" w:rsidP="008C75AB">
      <w:r w:rsidRPr="00980F2D">
        <w:t>Dieser Textbausteinkasten ist kein digitales Tool und kein automatisierter Generator. Er ist ein Arbeitsinstrument.</w:t>
      </w:r>
      <w:r>
        <w:t xml:space="preserve"> Und s</w:t>
      </w:r>
      <w:r w:rsidRPr="00980F2D">
        <w:t>o wird er genutzt:</w:t>
      </w:r>
    </w:p>
    <w:p w14:paraId="3A46D8FC" w14:textId="77777777" w:rsidR="008C75AB" w:rsidRPr="00980F2D" w:rsidRDefault="008C75AB" w:rsidP="008C75AB">
      <w:pPr>
        <w:numPr>
          <w:ilvl w:val="0"/>
          <w:numId w:val="3"/>
        </w:numPr>
      </w:pPr>
      <w:r w:rsidRPr="00980F2D">
        <w:t xml:space="preserve">Wählen Sie </w:t>
      </w:r>
      <w:r w:rsidRPr="00980F2D">
        <w:rPr>
          <w:b/>
          <w:bCs/>
        </w:rPr>
        <w:t>einen Einstiegsbaustein</w:t>
      </w:r>
      <w:r w:rsidRPr="00980F2D">
        <w:t>.</w:t>
      </w:r>
    </w:p>
    <w:p w14:paraId="4AFF1071" w14:textId="77777777" w:rsidR="008C75AB" w:rsidRPr="00980F2D" w:rsidRDefault="008C75AB" w:rsidP="008C75AB">
      <w:pPr>
        <w:numPr>
          <w:ilvl w:val="0"/>
          <w:numId w:val="3"/>
        </w:numPr>
      </w:pPr>
      <w:r w:rsidRPr="00980F2D">
        <w:t xml:space="preserve">Kombinieren Sie </w:t>
      </w:r>
      <w:r w:rsidRPr="00980F2D">
        <w:rPr>
          <w:b/>
          <w:bCs/>
        </w:rPr>
        <w:t>2</w:t>
      </w:r>
      <w:r>
        <w:rPr>
          <w:b/>
          <w:bCs/>
        </w:rPr>
        <w:t>-</w:t>
      </w:r>
      <w:r w:rsidRPr="00980F2D">
        <w:rPr>
          <w:b/>
          <w:bCs/>
        </w:rPr>
        <w:t>4 Argumentationsbausteine</w:t>
      </w:r>
      <w:r w:rsidRPr="00980F2D">
        <w:t xml:space="preserve"> aus verschiedenen Kategorien.</w:t>
      </w:r>
    </w:p>
    <w:p w14:paraId="3626912C" w14:textId="77777777" w:rsidR="008C75AB" w:rsidRPr="00980F2D" w:rsidRDefault="008C75AB" w:rsidP="008C75AB">
      <w:pPr>
        <w:numPr>
          <w:ilvl w:val="0"/>
          <w:numId w:val="3"/>
        </w:numPr>
      </w:pPr>
      <w:r w:rsidRPr="00980F2D">
        <w:t>Ergänzen Sie den Text mit Ihrer persönlichen Betroffenheit oder lokalen Perspektive.</w:t>
      </w:r>
    </w:p>
    <w:p w14:paraId="009C21D3" w14:textId="77777777" w:rsidR="008C75AB" w:rsidRPr="00980F2D" w:rsidRDefault="008C75AB" w:rsidP="008C75AB">
      <w:pPr>
        <w:numPr>
          <w:ilvl w:val="0"/>
          <w:numId w:val="3"/>
        </w:numPr>
      </w:pPr>
      <w:proofErr w:type="spellStart"/>
      <w:r w:rsidRPr="00980F2D">
        <w:t>Schliessen</w:t>
      </w:r>
      <w:proofErr w:type="spellEnd"/>
      <w:r w:rsidRPr="00980F2D">
        <w:t xml:space="preserve"> Sie mit einem </w:t>
      </w:r>
      <w:r w:rsidRPr="00980F2D">
        <w:rPr>
          <w:b/>
          <w:bCs/>
        </w:rPr>
        <w:t>klaren Forderungsbaustein</w:t>
      </w:r>
      <w:r w:rsidRPr="00980F2D">
        <w:t xml:space="preserve"> ab.</w:t>
      </w:r>
    </w:p>
    <w:p w14:paraId="00CA5128" w14:textId="77777777" w:rsidR="008C75AB" w:rsidRDefault="008C75AB" w:rsidP="008C75AB">
      <w:r w:rsidRPr="00980F2D">
        <w:t>Kopieren, anpassen, zuspitzen</w:t>
      </w:r>
      <w:r>
        <w:t xml:space="preserve">, </w:t>
      </w:r>
      <w:r w:rsidRPr="00980F2D">
        <w:t>ausdrücklich erwünscht. Jeder Text soll persönlich bleiben, aber argumentativ belastbar sein.</w:t>
      </w:r>
    </w:p>
    <w:p w14:paraId="6C98132B" w14:textId="77777777" w:rsidR="008C75AB" w:rsidRPr="00980F2D" w:rsidRDefault="008C75AB" w:rsidP="008C75AB">
      <w:r w:rsidRPr="00DE222B">
        <w:t xml:space="preserve">Dieses Vorgehen entspricht dem </w:t>
      </w:r>
      <w:proofErr w:type="spellStart"/>
      <w:r w:rsidRPr="00DE222B">
        <w:t>verfassungsmässigen</w:t>
      </w:r>
      <w:proofErr w:type="spellEnd"/>
      <w:r w:rsidRPr="00DE222B">
        <w:t xml:space="preserve"> Recht auf politische </w:t>
      </w:r>
      <w:proofErr w:type="spellStart"/>
      <w:r w:rsidRPr="00DE222B">
        <w:t>Meinungsäusserung</w:t>
      </w:r>
      <w:proofErr w:type="spellEnd"/>
      <w:r w:rsidRPr="00DE222B">
        <w:t xml:space="preserve"> und Beteiligung an der Willensbildung.</w:t>
      </w:r>
    </w:p>
    <w:p w14:paraId="21244155" w14:textId="77777777" w:rsidR="008C75AB" w:rsidRPr="00980F2D" w:rsidRDefault="008C75AB" w:rsidP="008C75AB">
      <w:pPr>
        <w:rPr>
          <w:b/>
          <w:bCs/>
        </w:rPr>
      </w:pPr>
      <w:r w:rsidRPr="00980F2D">
        <w:rPr>
          <w:b/>
          <w:bCs/>
        </w:rPr>
        <w:t>1. Einstiegsbausteine</w:t>
      </w:r>
    </w:p>
    <w:p w14:paraId="06EB29FB" w14:textId="77777777" w:rsidR="008C75AB" w:rsidRPr="00980F2D" w:rsidRDefault="008C75AB" w:rsidP="008C75AB">
      <w:r w:rsidRPr="00980F2D">
        <w:rPr>
          <w:b/>
          <w:bCs/>
        </w:rPr>
        <w:t>Sachlich-nüchtern</w:t>
      </w:r>
      <w:r w:rsidRPr="00980F2D">
        <w:br/>
        <w:t>«Als Stimmbürgerin / Stimmbürger nehme ich zur Teilrevision des Fernmeldegesetzes Stellung, weil diese Vorlage erhebliche Auswirkungen auf Grundrechte, Rechtsstaatlichkeit und das Verhältnis zwischen Bürger und Staat hat.»</w:t>
      </w:r>
    </w:p>
    <w:p w14:paraId="06B63C55" w14:textId="77777777" w:rsidR="008C75AB" w:rsidRPr="00980F2D" w:rsidRDefault="008C75AB" w:rsidP="008C75AB">
      <w:r w:rsidRPr="00980F2D">
        <w:rPr>
          <w:b/>
          <w:bCs/>
        </w:rPr>
        <w:t>Besorgt-bürgerlich</w:t>
      </w:r>
      <w:r w:rsidRPr="00980F2D">
        <w:br/>
        <w:t xml:space="preserve">«Die geplante Teilrevision des Fernmeldegesetzes bereitet mir </w:t>
      </w:r>
      <w:proofErr w:type="spellStart"/>
      <w:r w:rsidRPr="00980F2D">
        <w:t>grosse</w:t>
      </w:r>
      <w:proofErr w:type="spellEnd"/>
      <w:r w:rsidRPr="00980F2D">
        <w:t xml:space="preserve"> Sorgen, da sie staatliche Eingriffsmöglichkeiten erweitert, ohne dass deren Notwendigkeit und </w:t>
      </w:r>
      <w:proofErr w:type="spellStart"/>
      <w:r w:rsidRPr="00980F2D">
        <w:t>Verhältnismässigkeit</w:t>
      </w:r>
      <w:proofErr w:type="spellEnd"/>
      <w:r w:rsidRPr="00980F2D">
        <w:t xml:space="preserve"> überzeugend belegt sind.»</w:t>
      </w:r>
    </w:p>
    <w:p w14:paraId="18353A8F" w14:textId="77777777" w:rsidR="008C75AB" w:rsidRPr="00980F2D" w:rsidRDefault="008C75AB" w:rsidP="008C75AB">
      <w:r w:rsidRPr="00980F2D">
        <w:rPr>
          <w:b/>
          <w:bCs/>
        </w:rPr>
        <w:t>Klar und kritisch</w:t>
      </w:r>
      <w:r w:rsidRPr="00980F2D">
        <w:br/>
        <w:t>«Diese Teilrevision des Fernmeldegesetzes ist in der vorliegenden Form nicht akzeptabel. Sie schafft neue Machtinstrumente, ohne ausreichende demokratische Kontrolle sicherzustellen.»</w:t>
      </w:r>
    </w:p>
    <w:p w14:paraId="4D1443D5" w14:textId="77777777" w:rsidR="008C75AB" w:rsidRDefault="008C75AB" w:rsidP="008C75AB">
      <w:pPr>
        <w:rPr>
          <w:b/>
          <w:bCs/>
        </w:rPr>
      </w:pPr>
      <w:r w:rsidRPr="00980F2D">
        <w:rPr>
          <w:b/>
          <w:bCs/>
        </w:rPr>
        <w:t>2. Argumentationsbausteine nach Themenfeldern</w:t>
      </w:r>
    </w:p>
    <w:p w14:paraId="1D7B31F3" w14:textId="77777777" w:rsidR="008C75AB" w:rsidRPr="00161ABB" w:rsidRDefault="008C75AB" w:rsidP="008C75AB">
      <w:pPr>
        <w:rPr>
          <w:b/>
          <w:bCs/>
          <w:color w:val="4472C4" w:themeColor="accent1"/>
        </w:rPr>
      </w:pPr>
      <w:r w:rsidRPr="00161ABB">
        <w:rPr>
          <w:b/>
          <w:bCs/>
          <w:color w:val="4472C4" w:themeColor="accent1"/>
        </w:rPr>
        <w:t>A. Gesundheitsschutz &amp; gesellschaftliche Folgen</w:t>
      </w:r>
    </w:p>
    <w:p w14:paraId="1A37FC84" w14:textId="77777777" w:rsidR="008C75AB" w:rsidRPr="00161ABB" w:rsidRDefault="008C75AB" w:rsidP="008C75AB">
      <w:r w:rsidRPr="00161ABB">
        <w:rPr>
          <w:b/>
          <w:bCs/>
        </w:rPr>
        <w:t>Argumentative Bausteine</w:t>
      </w:r>
    </w:p>
    <w:p w14:paraId="70DF0122" w14:textId="77777777" w:rsidR="008C75AB" w:rsidRPr="00161ABB" w:rsidRDefault="008C75AB" w:rsidP="008C75AB">
      <w:pPr>
        <w:numPr>
          <w:ilvl w:val="0"/>
          <w:numId w:val="4"/>
        </w:numPr>
      </w:pPr>
      <w:r w:rsidRPr="00161ABB">
        <w:t>«Gesundheitsschutz endet nicht bei Viren, sondern umfasst auch psychische, soziale und gesellschaftliche Unversehrtheit. Dauerüberwachung und ständige Datenerfassung erzeugen Stress, Anpassungsdruck und Angst</w:t>
      </w:r>
      <w:r>
        <w:t>,</w:t>
      </w:r>
      <w:r w:rsidRPr="00161ABB">
        <w:t xml:space="preserve"> insbesondere bei Kindern und Jugendlichen.»</w:t>
      </w:r>
    </w:p>
    <w:p w14:paraId="363B637F" w14:textId="77777777" w:rsidR="008C75AB" w:rsidRPr="00161ABB" w:rsidRDefault="008C75AB" w:rsidP="008C75AB">
      <w:pPr>
        <w:numPr>
          <w:ilvl w:val="0"/>
          <w:numId w:val="4"/>
        </w:numPr>
      </w:pPr>
      <w:r w:rsidRPr="00161ABB">
        <w:t>«Ein Staat, der digitale Kommunikation systematisch überwacht, greift indirekt in das Wohlbefinden seiner Bevölkerung ein. Dies widerspricht einem ganzheitlichen Verständnis von öffentlicher Gesundheit.»</w:t>
      </w:r>
    </w:p>
    <w:p w14:paraId="1F64D994" w14:textId="77777777" w:rsidR="008C75AB" w:rsidRPr="00161ABB" w:rsidRDefault="008C75AB" w:rsidP="008C75AB">
      <w:pPr>
        <w:numPr>
          <w:ilvl w:val="0"/>
          <w:numId w:val="4"/>
        </w:numPr>
      </w:pPr>
      <w:r w:rsidRPr="00161ABB">
        <w:lastRenderedPageBreak/>
        <w:t>«Die Revision verkennt, dass Überwachung kein neutrales Instrument ist, sondern nachweislich soziale Selbstzensur fördert und gesellschaftliches Vertrauen zerstört.»</w:t>
      </w:r>
    </w:p>
    <w:p w14:paraId="7AFBBF74" w14:textId="77777777" w:rsidR="008C75AB" w:rsidRPr="00161ABB" w:rsidRDefault="008C75AB" w:rsidP="008C75AB">
      <w:pPr>
        <w:numPr>
          <w:ilvl w:val="0"/>
          <w:numId w:val="4"/>
        </w:numPr>
      </w:pPr>
      <w:r w:rsidRPr="00161ABB">
        <w:t>«Gesundheitspolitik, die psychische Belastungen ignoriert, produziert langfristige Folgekosten</w:t>
      </w:r>
      <w:r>
        <w:t xml:space="preserve">: </w:t>
      </w:r>
      <w:r w:rsidRPr="00161ABB">
        <w:t>medizinisch, sozial und wirtschaftlich.»</w:t>
      </w:r>
    </w:p>
    <w:p w14:paraId="26ECCA4A" w14:textId="77777777" w:rsidR="008C75AB" w:rsidRPr="00161ABB" w:rsidRDefault="008C75AB" w:rsidP="008C75AB">
      <w:pPr>
        <w:numPr>
          <w:ilvl w:val="0"/>
          <w:numId w:val="4"/>
        </w:numPr>
      </w:pPr>
      <w:r w:rsidRPr="00161ABB">
        <w:t>«Ein Gesetz, das Kontrolle ausweitet, ohne gesundheitliche Auswirkungen zu prüfen, handelt fahrlässig gegenüber der Bevölkerung.»</w:t>
      </w:r>
    </w:p>
    <w:p w14:paraId="65194A2E" w14:textId="77777777" w:rsidR="008C75AB" w:rsidRPr="00161ABB" w:rsidRDefault="008C75AB" w:rsidP="008C75AB">
      <w:r w:rsidRPr="00161ABB">
        <w:rPr>
          <w:b/>
          <w:bCs/>
        </w:rPr>
        <w:t>Fragen an Politik und Verwaltung</w:t>
      </w:r>
    </w:p>
    <w:p w14:paraId="163FA3A0" w14:textId="77777777" w:rsidR="008C75AB" w:rsidRPr="00161ABB" w:rsidRDefault="008C75AB" w:rsidP="008C75AB">
      <w:pPr>
        <w:numPr>
          <w:ilvl w:val="0"/>
          <w:numId w:val="5"/>
        </w:numPr>
      </w:pPr>
      <w:r w:rsidRPr="00161ABB">
        <w:t>«Welche gesundheitlichen Folgen</w:t>
      </w:r>
      <w:r>
        <w:t xml:space="preserve">, </w:t>
      </w:r>
      <w:r w:rsidRPr="00161ABB">
        <w:t>insbesondere psychische und soziale</w:t>
      </w:r>
      <w:r>
        <w:t xml:space="preserve">, </w:t>
      </w:r>
      <w:r w:rsidRPr="00161ABB">
        <w:t>wurden im Zusammenhang mit der Teilrevision systematisch geprüft?»</w:t>
      </w:r>
    </w:p>
    <w:p w14:paraId="2274ED98" w14:textId="77777777" w:rsidR="008C75AB" w:rsidRPr="00161ABB" w:rsidRDefault="008C75AB" w:rsidP="008C75AB">
      <w:pPr>
        <w:numPr>
          <w:ilvl w:val="0"/>
          <w:numId w:val="5"/>
        </w:numPr>
      </w:pPr>
      <w:r w:rsidRPr="00161ABB">
        <w:t>«Wo sind die entsprechenden Risikoabschätzungen öffentlich einsehbar?»</w:t>
      </w:r>
    </w:p>
    <w:p w14:paraId="7ACBAA18" w14:textId="77777777" w:rsidR="008C75AB" w:rsidRPr="00161ABB" w:rsidRDefault="008C75AB" w:rsidP="008C75AB">
      <w:pPr>
        <w:numPr>
          <w:ilvl w:val="0"/>
          <w:numId w:val="5"/>
        </w:numPr>
      </w:pPr>
      <w:r w:rsidRPr="00161ABB">
        <w:t>«Warum wurden Kinder, Jugendliche und besonders schutzbedürftige Gruppen in der Folgenabschätzung nicht explizit berücksichtigt?»</w:t>
      </w:r>
    </w:p>
    <w:p w14:paraId="72495EAA" w14:textId="77777777" w:rsidR="008C75AB" w:rsidRPr="00161ABB" w:rsidRDefault="008C75AB" w:rsidP="008C75AB">
      <w:pPr>
        <w:numPr>
          <w:ilvl w:val="0"/>
          <w:numId w:val="5"/>
        </w:numPr>
      </w:pPr>
      <w:r w:rsidRPr="00161ABB">
        <w:t>«Auf welcher wissenschaftlichen Grundlage wird behauptet, dass ausgeweitete Überwachung keine gesundheitlichen Langzeitfolgen hat?»</w:t>
      </w:r>
    </w:p>
    <w:p w14:paraId="03C19B05" w14:textId="77777777" w:rsidR="008C75AB" w:rsidRPr="00161ABB" w:rsidRDefault="008C75AB" w:rsidP="008C75AB">
      <w:pPr>
        <w:numPr>
          <w:ilvl w:val="0"/>
          <w:numId w:val="5"/>
        </w:numPr>
      </w:pPr>
      <w:r w:rsidRPr="00161ABB">
        <w:t>«Wer trägt die Verantwortung, falls sich gesundheitliche Schäden erst nach Inkrafttreten zeigen?»</w:t>
      </w:r>
    </w:p>
    <w:p w14:paraId="3564BAA7" w14:textId="77777777" w:rsidR="008C75AB" w:rsidRPr="00161ABB" w:rsidRDefault="008C75AB" w:rsidP="008C75AB">
      <w:pPr>
        <w:rPr>
          <w:b/>
          <w:bCs/>
          <w:color w:val="4472C4" w:themeColor="accent1"/>
        </w:rPr>
      </w:pPr>
      <w:r w:rsidRPr="00161ABB">
        <w:rPr>
          <w:b/>
          <w:bCs/>
          <w:color w:val="4472C4" w:themeColor="accent1"/>
        </w:rPr>
        <w:t>B. Überwachungsstaat durch die Hintertür</w:t>
      </w:r>
    </w:p>
    <w:p w14:paraId="7459561B" w14:textId="77777777" w:rsidR="008C75AB" w:rsidRPr="00161ABB" w:rsidRDefault="008C75AB" w:rsidP="008C75AB">
      <w:r w:rsidRPr="00161ABB">
        <w:rPr>
          <w:b/>
          <w:bCs/>
        </w:rPr>
        <w:t>Argumentative Bausteine</w:t>
      </w:r>
    </w:p>
    <w:p w14:paraId="224947EA" w14:textId="77777777" w:rsidR="008C75AB" w:rsidRPr="00161ABB" w:rsidRDefault="008C75AB" w:rsidP="008C75AB">
      <w:pPr>
        <w:numPr>
          <w:ilvl w:val="0"/>
          <w:numId w:val="6"/>
        </w:numPr>
      </w:pPr>
      <w:r w:rsidRPr="00161ABB">
        <w:t>«Die Teilrevision schafft technische Voraussetzungen für Überwachung, ohne diese klar zu benennen. Genau darin liegt ihr demokratisches Risiko.»</w:t>
      </w:r>
    </w:p>
    <w:p w14:paraId="7058AA75" w14:textId="77777777" w:rsidR="008C75AB" w:rsidRPr="00161ABB" w:rsidRDefault="008C75AB" w:rsidP="008C75AB">
      <w:pPr>
        <w:numPr>
          <w:ilvl w:val="0"/>
          <w:numId w:val="6"/>
        </w:numPr>
      </w:pPr>
      <w:r w:rsidRPr="00161ABB">
        <w:t xml:space="preserve">«Was heute als punktuelle </w:t>
      </w:r>
      <w:proofErr w:type="spellStart"/>
      <w:r w:rsidRPr="00161ABB">
        <w:t>Massnahme</w:t>
      </w:r>
      <w:proofErr w:type="spellEnd"/>
      <w:r w:rsidRPr="00161ABB">
        <w:t xml:space="preserve"> verkauft wird, ist morgen flächendeckende Praxis. Infrastruktur bestimmt Handlungsmöglichkeiten.»</w:t>
      </w:r>
    </w:p>
    <w:p w14:paraId="14902B2A" w14:textId="77777777" w:rsidR="008C75AB" w:rsidRPr="00161ABB" w:rsidRDefault="008C75AB" w:rsidP="008C75AB">
      <w:pPr>
        <w:numPr>
          <w:ilvl w:val="0"/>
          <w:numId w:val="6"/>
        </w:numPr>
      </w:pPr>
      <w:r w:rsidRPr="00161ABB">
        <w:t>«Überwachung entsteht nicht durch Absichtserklärungen, sondern durch Systeme. Sind sie einmal etabliert, werden sie genutzt.»</w:t>
      </w:r>
    </w:p>
    <w:p w14:paraId="79D4AA05" w14:textId="77777777" w:rsidR="008C75AB" w:rsidRPr="00161ABB" w:rsidRDefault="008C75AB" w:rsidP="008C75AB">
      <w:pPr>
        <w:numPr>
          <w:ilvl w:val="0"/>
          <w:numId w:val="6"/>
        </w:numPr>
      </w:pPr>
      <w:r w:rsidRPr="00161ABB">
        <w:t>«Der Gesetzgeber verlagert die eigentliche Machtfrage von der politischen Ebene in die technische und entzieht sie damit der demokratischen Kontrolle.»</w:t>
      </w:r>
    </w:p>
    <w:p w14:paraId="6E8B71C2" w14:textId="77777777" w:rsidR="008C75AB" w:rsidRPr="00161ABB" w:rsidRDefault="008C75AB" w:rsidP="008C75AB">
      <w:pPr>
        <w:numPr>
          <w:ilvl w:val="0"/>
          <w:numId w:val="6"/>
        </w:numPr>
      </w:pPr>
      <w:r w:rsidRPr="00161ABB">
        <w:t>«Ein freiheitlicher Staat darf Überwachung nicht normalisieren, indem er sie als Verwaltungsakt tarnt.»</w:t>
      </w:r>
    </w:p>
    <w:p w14:paraId="769807B3" w14:textId="77777777" w:rsidR="008C75AB" w:rsidRPr="00161ABB" w:rsidRDefault="008C75AB" w:rsidP="008C75AB">
      <w:r w:rsidRPr="00161ABB">
        <w:rPr>
          <w:b/>
          <w:bCs/>
        </w:rPr>
        <w:t>Fragen an Politik und Verwaltung</w:t>
      </w:r>
    </w:p>
    <w:p w14:paraId="416C5158" w14:textId="77777777" w:rsidR="008C75AB" w:rsidRPr="00161ABB" w:rsidRDefault="008C75AB" w:rsidP="008C75AB">
      <w:pPr>
        <w:numPr>
          <w:ilvl w:val="0"/>
          <w:numId w:val="7"/>
        </w:numPr>
      </w:pPr>
      <w:r w:rsidRPr="00161ABB">
        <w:t>«Welche konkreten Überwachungsszenarien werden durch die neue Infrastruktur technisch möglich?»</w:t>
      </w:r>
    </w:p>
    <w:p w14:paraId="7379656C" w14:textId="77777777" w:rsidR="008C75AB" w:rsidRPr="00161ABB" w:rsidRDefault="008C75AB" w:rsidP="008C75AB">
      <w:pPr>
        <w:numPr>
          <w:ilvl w:val="0"/>
          <w:numId w:val="7"/>
        </w:numPr>
      </w:pPr>
      <w:r w:rsidRPr="00161ABB">
        <w:t>«Welche dieser Möglichkeiten wären heute rechtlich unzulässig, morgen aber faktisch realisierbar?»</w:t>
      </w:r>
    </w:p>
    <w:p w14:paraId="1334D2E1" w14:textId="77777777" w:rsidR="008C75AB" w:rsidRPr="00161ABB" w:rsidRDefault="008C75AB" w:rsidP="008C75AB">
      <w:pPr>
        <w:numPr>
          <w:ilvl w:val="0"/>
          <w:numId w:val="7"/>
        </w:numPr>
      </w:pPr>
      <w:r w:rsidRPr="00161ABB">
        <w:t>«Warum werden technische Fähigkeiten geschaffen, bevor deren demokratische Legitimation geklärt ist?»</w:t>
      </w:r>
    </w:p>
    <w:p w14:paraId="6C8AB1EA" w14:textId="77777777" w:rsidR="008C75AB" w:rsidRPr="00161ABB" w:rsidRDefault="008C75AB" w:rsidP="008C75AB">
      <w:pPr>
        <w:numPr>
          <w:ilvl w:val="0"/>
          <w:numId w:val="7"/>
        </w:numPr>
      </w:pPr>
      <w:r w:rsidRPr="00161ABB">
        <w:lastRenderedPageBreak/>
        <w:t>«Wie soll verhindert werden, dass Zweckbindungen schrittweise ausgeweitet werden?»</w:t>
      </w:r>
    </w:p>
    <w:p w14:paraId="1FD85658" w14:textId="77777777" w:rsidR="008C75AB" w:rsidRPr="00161ABB" w:rsidRDefault="008C75AB" w:rsidP="008C75AB">
      <w:pPr>
        <w:numPr>
          <w:ilvl w:val="0"/>
          <w:numId w:val="7"/>
        </w:numPr>
      </w:pPr>
      <w:r w:rsidRPr="00161ABB">
        <w:t>«Wer entscheidet künftig faktisch über den Einsatz dieser Überwachungsinstrumente</w:t>
      </w:r>
      <w:r>
        <w:t xml:space="preserve">: </w:t>
      </w:r>
      <w:r w:rsidRPr="00161ABB">
        <w:t>Parlament oder Verwaltung?»</w:t>
      </w:r>
    </w:p>
    <w:p w14:paraId="49753D05" w14:textId="77777777" w:rsidR="008C75AB" w:rsidRPr="00161ABB" w:rsidRDefault="008C75AB" w:rsidP="008C75AB">
      <w:pPr>
        <w:rPr>
          <w:b/>
          <w:bCs/>
          <w:color w:val="4472C4" w:themeColor="accent1"/>
        </w:rPr>
      </w:pPr>
      <w:r w:rsidRPr="00161ABB">
        <w:rPr>
          <w:b/>
          <w:bCs/>
          <w:color w:val="4472C4" w:themeColor="accent1"/>
        </w:rPr>
        <w:t>C. Verdrehung und Aushöhlung von Grundrechten</w:t>
      </w:r>
    </w:p>
    <w:p w14:paraId="31B2B47F" w14:textId="77777777" w:rsidR="008C75AB" w:rsidRPr="00161ABB" w:rsidRDefault="008C75AB" w:rsidP="008C75AB">
      <w:r w:rsidRPr="00161ABB">
        <w:rPr>
          <w:b/>
          <w:bCs/>
        </w:rPr>
        <w:t>Argumentative Bausteine</w:t>
      </w:r>
    </w:p>
    <w:p w14:paraId="2FC33126" w14:textId="77777777" w:rsidR="008C75AB" w:rsidRPr="00161ABB" w:rsidRDefault="008C75AB" w:rsidP="008C75AB">
      <w:pPr>
        <w:numPr>
          <w:ilvl w:val="0"/>
          <w:numId w:val="8"/>
        </w:numPr>
      </w:pPr>
      <w:r w:rsidRPr="00161ABB">
        <w:t>«Grundrechte werden hier nicht offen eingeschränkt, sondern funktional entwertet</w:t>
      </w:r>
      <w:r>
        <w:t xml:space="preserve">, </w:t>
      </w:r>
      <w:r w:rsidRPr="00161ABB">
        <w:t>durch neue Definitionen, Ausnahmen und technische Umgehungen.»</w:t>
      </w:r>
    </w:p>
    <w:p w14:paraId="6E413D71" w14:textId="77777777" w:rsidR="008C75AB" w:rsidRPr="00161ABB" w:rsidRDefault="008C75AB" w:rsidP="008C75AB">
      <w:pPr>
        <w:numPr>
          <w:ilvl w:val="0"/>
          <w:numId w:val="8"/>
        </w:numPr>
      </w:pPr>
      <w:r w:rsidRPr="00161ABB">
        <w:t>«Das Fernmeldegeheimnis wird nicht aufgehoben, aber ausgehöhlt. Genau das macht diese Revision so problematisch.»</w:t>
      </w:r>
    </w:p>
    <w:p w14:paraId="57DF128F" w14:textId="77777777" w:rsidR="008C75AB" w:rsidRPr="00161ABB" w:rsidRDefault="008C75AB" w:rsidP="008C75AB">
      <w:pPr>
        <w:numPr>
          <w:ilvl w:val="0"/>
          <w:numId w:val="8"/>
        </w:numPr>
      </w:pPr>
      <w:r w:rsidRPr="00161ABB">
        <w:t>«Rechte, die nur noch unter Vorbehalt gelten, sind keine Rechte mehr, sondern Privilegien auf Widerruf.»</w:t>
      </w:r>
    </w:p>
    <w:p w14:paraId="23D7D131" w14:textId="77777777" w:rsidR="008C75AB" w:rsidRPr="00161ABB" w:rsidRDefault="008C75AB" w:rsidP="008C75AB">
      <w:pPr>
        <w:numPr>
          <w:ilvl w:val="0"/>
          <w:numId w:val="8"/>
        </w:numPr>
      </w:pPr>
      <w:r w:rsidRPr="00161ABB">
        <w:t>«Der Staat verschiebt die Beweislast: Bürger müssen künftig erklären, warum sie unbeobachtet bleiben wollen.»</w:t>
      </w:r>
    </w:p>
    <w:p w14:paraId="29810517" w14:textId="77777777" w:rsidR="008C75AB" w:rsidRPr="00161ABB" w:rsidRDefault="008C75AB" w:rsidP="008C75AB">
      <w:pPr>
        <w:numPr>
          <w:ilvl w:val="0"/>
          <w:numId w:val="8"/>
        </w:numPr>
      </w:pPr>
      <w:r w:rsidRPr="00161ABB">
        <w:t>«Freiheit, die technisch jederzeit aufgehoben werden kann, existiert nur noch auf dem Papier.»</w:t>
      </w:r>
    </w:p>
    <w:p w14:paraId="55AD1759" w14:textId="77777777" w:rsidR="008C75AB" w:rsidRPr="00161ABB" w:rsidRDefault="008C75AB" w:rsidP="008C75AB">
      <w:r w:rsidRPr="00161ABB">
        <w:rPr>
          <w:b/>
          <w:bCs/>
        </w:rPr>
        <w:t>Fragen an Politik und Verwaltung</w:t>
      </w:r>
    </w:p>
    <w:p w14:paraId="6C65A2EC" w14:textId="77777777" w:rsidR="008C75AB" w:rsidRPr="00161ABB" w:rsidRDefault="008C75AB" w:rsidP="008C75AB">
      <w:pPr>
        <w:numPr>
          <w:ilvl w:val="0"/>
          <w:numId w:val="9"/>
        </w:numPr>
      </w:pPr>
      <w:r w:rsidRPr="00161ABB">
        <w:t>«Welche Grundrechte werden durch die Teilrevision faktisch eingeschränkt, auch wenn sie formal bestehen bleiben?»</w:t>
      </w:r>
    </w:p>
    <w:p w14:paraId="12281FAA" w14:textId="77777777" w:rsidR="008C75AB" w:rsidRPr="00161ABB" w:rsidRDefault="008C75AB" w:rsidP="008C75AB">
      <w:pPr>
        <w:numPr>
          <w:ilvl w:val="0"/>
          <w:numId w:val="9"/>
        </w:numPr>
      </w:pPr>
      <w:r w:rsidRPr="00161ABB">
        <w:t>«Warum wird das Fernmeldegeheimnis nicht ausdrücklich und überprüfbar geschützt?»</w:t>
      </w:r>
    </w:p>
    <w:p w14:paraId="28536DD6" w14:textId="77777777" w:rsidR="008C75AB" w:rsidRPr="00161ABB" w:rsidRDefault="008C75AB" w:rsidP="008C75AB">
      <w:pPr>
        <w:numPr>
          <w:ilvl w:val="0"/>
          <w:numId w:val="9"/>
        </w:numPr>
      </w:pPr>
      <w:r w:rsidRPr="00161ABB">
        <w:t>«Wie begründet der Gesetzgeber die Verschiebung von Freiheitsrechten hin zu Vorbehaltsrechten?»</w:t>
      </w:r>
    </w:p>
    <w:p w14:paraId="23A9839C" w14:textId="77777777" w:rsidR="008C75AB" w:rsidRPr="00161ABB" w:rsidRDefault="008C75AB" w:rsidP="008C75AB">
      <w:pPr>
        <w:numPr>
          <w:ilvl w:val="0"/>
          <w:numId w:val="9"/>
        </w:numPr>
      </w:pPr>
      <w:r w:rsidRPr="00161ABB">
        <w:t>«Welche Möglichkeiten haben Bürger, sich präventiv gegen Grundrechtseingriffe zu wehren?»</w:t>
      </w:r>
    </w:p>
    <w:p w14:paraId="392ABB7C" w14:textId="77777777" w:rsidR="008C75AB" w:rsidRPr="00161ABB" w:rsidRDefault="008C75AB" w:rsidP="008C75AB">
      <w:pPr>
        <w:numPr>
          <w:ilvl w:val="0"/>
          <w:numId w:val="9"/>
        </w:numPr>
      </w:pPr>
      <w:r w:rsidRPr="00161ABB">
        <w:t>«Ab welchem Punkt gilt eine schleichende Aushöhlung als verfassungsrechtlich relevant?»</w:t>
      </w:r>
    </w:p>
    <w:p w14:paraId="37674649" w14:textId="77777777" w:rsidR="008C75AB" w:rsidRPr="00161ABB" w:rsidRDefault="008C75AB" w:rsidP="008C75AB">
      <w:pPr>
        <w:rPr>
          <w:b/>
          <w:bCs/>
          <w:color w:val="4472C4" w:themeColor="accent1"/>
        </w:rPr>
      </w:pPr>
      <w:r w:rsidRPr="00161ABB">
        <w:rPr>
          <w:b/>
          <w:bCs/>
          <w:color w:val="4472C4" w:themeColor="accent1"/>
        </w:rPr>
        <w:t>D. Fehlender Rechtsschutz &amp; Kontrollillusion</w:t>
      </w:r>
    </w:p>
    <w:p w14:paraId="100027E1" w14:textId="77777777" w:rsidR="008C75AB" w:rsidRPr="00161ABB" w:rsidRDefault="008C75AB" w:rsidP="008C75AB">
      <w:r w:rsidRPr="00161ABB">
        <w:rPr>
          <w:b/>
          <w:bCs/>
        </w:rPr>
        <w:t>Argumentative Bausteine</w:t>
      </w:r>
    </w:p>
    <w:p w14:paraId="71068F8B" w14:textId="77777777" w:rsidR="008C75AB" w:rsidRPr="00161ABB" w:rsidRDefault="008C75AB" w:rsidP="008C75AB">
      <w:pPr>
        <w:numPr>
          <w:ilvl w:val="0"/>
          <w:numId w:val="10"/>
        </w:numPr>
      </w:pPr>
      <w:r w:rsidRPr="00161ABB">
        <w:t>«Die Revision setzt auf nachträgliche Kontrolle, obwohl gerade digitale Eingriffe irreversibel sind.»</w:t>
      </w:r>
    </w:p>
    <w:p w14:paraId="23BDB92A" w14:textId="77777777" w:rsidR="008C75AB" w:rsidRPr="00161ABB" w:rsidRDefault="008C75AB" w:rsidP="008C75AB">
      <w:pPr>
        <w:numPr>
          <w:ilvl w:val="0"/>
          <w:numId w:val="10"/>
        </w:numPr>
      </w:pPr>
      <w:r w:rsidRPr="00161ABB">
        <w:t>«Rechtsschutz, der erst greift, wenn Systeme längst implementiert sind, kommt zu spät.»</w:t>
      </w:r>
    </w:p>
    <w:p w14:paraId="407548DD" w14:textId="77777777" w:rsidR="008C75AB" w:rsidRPr="00161ABB" w:rsidRDefault="008C75AB" w:rsidP="008C75AB">
      <w:pPr>
        <w:numPr>
          <w:ilvl w:val="0"/>
          <w:numId w:val="10"/>
        </w:numPr>
      </w:pPr>
      <w:r w:rsidRPr="00161ABB">
        <w:t>«Bürger können sich gegen Überwachung kaum wehren, wenn sie diese nicht einmal bemerken.»</w:t>
      </w:r>
    </w:p>
    <w:p w14:paraId="6E79207F" w14:textId="77777777" w:rsidR="008C75AB" w:rsidRPr="00161ABB" w:rsidRDefault="008C75AB" w:rsidP="008C75AB">
      <w:pPr>
        <w:numPr>
          <w:ilvl w:val="0"/>
          <w:numId w:val="10"/>
        </w:numPr>
      </w:pPr>
      <w:r w:rsidRPr="00161ABB">
        <w:t>«Die versprochene Kontrolle ist institutionell schwach, zeitlich verzögert und faktisch wirkungslos.»</w:t>
      </w:r>
    </w:p>
    <w:p w14:paraId="37E09CA7" w14:textId="77777777" w:rsidR="008C75AB" w:rsidRPr="00161ABB" w:rsidRDefault="008C75AB" w:rsidP="008C75AB">
      <w:pPr>
        <w:numPr>
          <w:ilvl w:val="0"/>
          <w:numId w:val="10"/>
        </w:numPr>
      </w:pPr>
      <w:r w:rsidRPr="00AF0365">
        <w:t>«Präventiver Rechtsschutz wird durch ein System ersetzt, das Eingriffe erst im Nachhinein thematisiert</w:t>
      </w:r>
      <w:r>
        <w:t xml:space="preserve">, </w:t>
      </w:r>
      <w:r w:rsidRPr="00AF0365">
        <w:t>wenn sie faktisch nicht mehr rückgängig zu machen sind.»</w:t>
      </w:r>
    </w:p>
    <w:p w14:paraId="3EE67787" w14:textId="77777777" w:rsidR="008C75AB" w:rsidRPr="00161ABB" w:rsidRDefault="008C75AB" w:rsidP="008C75AB">
      <w:r w:rsidRPr="00161ABB">
        <w:rPr>
          <w:b/>
          <w:bCs/>
        </w:rPr>
        <w:lastRenderedPageBreak/>
        <w:t>Fragen an Politik und Verwaltung</w:t>
      </w:r>
    </w:p>
    <w:p w14:paraId="2A844D1C" w14:textId="77777777" w:rsidR="008C75AB" w:rsidRPr="00161ABB" w:rsidRDefault="008C75AB" w:rsidP="008C75AB">
      <w:pPr>
        <w:numPr>
          <w:ilvl w:val="0"/>
          <w:numId w:val="11"/>
        </w:numPr>
      </w:pPr>
      <w:r w:rsidRPr="00161ABB">
        <w:t>«Wie soll effektiver Rechtsschutz gewährleistet werden, wenn Betroffene Überwachung nicht erkennen können?»</w:t>
      </w:r>
    </w:p>
    <w:p w14:paraId="308F078F" w14:textId="77777777" w:rsidR="008C75AB" w:rsidRPr="00161ABB" w:rsidRDefault="008C75AB" w:rsidP="008C75AB">
      <w:pPr>
        <w:numPr>
          <w:ilvl w:val="0"/>
          <w:numId w:val="11"/>
        </w:numPr>
      </w:pPr>
      <w:r w:rsidRPr="00161ABB">
        <w:t>«Welche Instanz prüft Eingriffe vor ihrer Umsetzung und nicht erst danach?»</w:t>
      </w:r>
    </w:p>
    <w:p w14:paraId="7A21D15D" w14:textId="77777777" w:rsidR="008C75AB" w:rsidRPr="00161ABB" w:rsidRDefault="008C75AB" w:rsidP="008C75AB">
      <w:pPr>
        <w:numPr>
          <w:ilvl w:val="0"/>
          <w:numId w:val="11"/>
        </w:numPr>
      </w:pPr>
      <w:r w:rsidRPr="00161ABB">
        <w:t>«Warum wird präventiver Rechtsschutz systematisch ausgeschlossen?»</w:t>
      </w:r>
    </w:p>
    <w:p w14:paraId="7E69C382" w14:textId="77777777" w:rsidR="008C75AB" w:rsidRPr="00161ABB" w:rsidRDefault="008C75AB" w:rsidP="008C75AB">
      <w:pPr>
        <w:numPr>
          <w:ilvl w:val="0"/>
          <w:numId w:val="11"/>
        </w:numPr>
      </w:pPr>
      <w:r w:rsidRPr="00161ABB">
        <w:t>«Wie viele Eingriffe wurden in vergleichbaren Systemen nachträglich als rechtswidrig erkannt?»</w:t>
      </w:r>
    </w:p>
    <w:p w14:paraId="3A7E53A1" w14:textId="77777777" w:rsidR="008C75AB" w:rsidRPr="00161ABB" w:rsidRDefault="008C75AB" w:rsidP="008C75AB">
      <w:pPr>
        <w:numPr>
          <w:ilvl w:val="0"/>
          <w:numId w:val="11"/>
        </w:numPr>
      </w:pPr>
      <w:r w:rsidRPr="00161ABB">
        <w:t>«Welche realen Konsequenzen hat Kontrolle, wenn Systeme bereits etabliert sind?»</w:t>
      </w:r>
    </w:p>
    <w:p w14:paraId="1B5B15A4" w14:textId="77777777" w:rsidR="008C75AB" w:rsidRPr="00161ABB" w:rsidRDefault="008C75AB" w:rsidP="008C75AB">
      <w:pPr>
        <w:rPr>
          <w:b/>
          <w:bCs/>
          <w:color w:val="4472C4" w:themeColor="accent1"/>
        </w:rPr>
      </w:pPr>
      <w:r w:rsidRPr="00161ABB">
        <w:rPr>
          <w:b/>
          <w:bCs/>
          <w:color w:val="4472C4" w:themeColor="accent1"/>
        </w:rPr>
        <w:t>E. Industrieinteressen &amp; politische Bequemlichkeit</w:t>
      </w:r>
    </w:p>
    <w:p w14:paraId="1059F95E" w14:textId="77777777" w:rsidR="008C75AB" w:rsidRPr="00161ABB" w:rsidRDefault="008C75AB" w:rsidP="008C75AB">
      <w:r w:rsidRPr="00161ABB">
        <w:rPr>
          <w:b/>
          <w:bCs/>
        </w:rPr>
        <w:t>Argumentative Bausteine</w:t>
      </w:r>
    </w:p>
    <w:p w14:paraId="66C034E2" w14:textId="77777777" w:rsidR="008C75AB" w:rsidRPr="00161ABB" w:rsidRDefault="008C75AB" w:rsidP="008C75AB">
      <w:pPr>
        <w:numPr>
          <w:ilvl w:val="0"/>
          <w:numId w:val="12"/>
        </w:numPr>
      </w:pPr>
      <w:r w:rsidRPr="00161ABB">
        <w:t>«Die Revision begünstigt technische und sicherheitsnahe Anbieter, während Risiken auf die Gesellschaft abgewälzt werden.»</w:t>
      </w:r>
    </w:p>
    <w:p w14:paraId="76B9A29B" w14:textId="77777777" w:rsidR="008C75AB" w:rsidRPr="00161ABB" w:rsidRDefault="008C75AB" w:rsidP="008C75AB">
      <w:pPr>
        <w:numPr>
          <w:ilvl w:val="0"/>
          <w:numId w:val="12"/>
        </w:numPr>
      </w:pPr>
      <w:r w:rsidRPr="00161ABB">
        <w:t>«Was als Effizienz verkauft wird, ist in Wahrheit eine Entlastung staatlicher Stellen auf Kosten der Bürgerrechte.»</w:t>
      </w:r>
    </w:p>
    <w:p w14:paraId="4AA012B6" w14:textId="77777777" w:rsidR="008C75AB" w:rsidRPr="00161ABB" w:rsidRDefault="008C75AB" w:rsidP="008C75AB">
      <w:pPr>
        <w:numPr>
          <w:ilvl w:val="0"/>
          <w:numId w:val="12"/>
        </w:numPr>
      </w:pPr>
      <w:r w:rsidRPr="00161ABB">
        <w:t>«Industriekompatible Gesetze ersetzen politische Verantwortung durch technische Machbarkeit.»</w:t>
      </w:r>
    </w:p>
    <w:p w14:paraId="79FABA70" w14:textId="77777777" w:rsidR="008C75AB" w:rsidRPr="00161ABB" w:rsidRDefault="008C75AB" w:rsidP="008C75AB">
      <w:pPr>
        <w:numPr>
          <w:ilvl w:val="0"/>
          <w:numId w:val="12"/>
        </w:numPr>
      </w:pPr>
      <w:r w:rsidRPr="00161ABB">
        <w:t>«Der Gesetzgeber folgt dem, was technisch möglich ist</w:t>
      </w:r>
      <w:r>
        <w:t xml:space="preserve">, </w:t>
      </w:r>
      <w:r w:rsidRPr="00161ABB">
        <w:t>nicht dem, was demokratisch legitimiert wäre.»</w:t>
      </w:r>
    </w:p>
    <w:p w14:paraId="22CF513A" w14:textId="77777777" w:rsidR="008C75AB" w:rsidRPr="00161ABB" w:rsidRDefault="008C75AB" w:rsidP="008C75AB">
      <w:pPr>
        <w:numPr>
          <w:ilvl w:val="0"/>
          <w:numId w:val="12"/>
        </w:numPr>
      </w:pPr>
      <w:r w:rsidRPr="00161ABB">
        <w:t>«Bequemlichkeit im Vollzug darf kein Argument sein, um Freiheitsrechte dauerhaft zu beschneiden.»</w:t>
      </w:r>
    </w:p>
    <w:p w14:paraId="066BDF56" w14:textId="77777777" w:rsidR="008C75AB" w:rsidRPr="00161ABB" w:rsidRDefault="008C75AB" w:rsidP="008C75AB">
      <w:r w:rsidRPr="00161ABB">
        <w:rPr>
          <w:b/>
          <w:bCs/>
        </w:rPr>
        <w:t>Fragen an Politik und Verwaltung</w:t>
      </w:r>
    </w:p>
    <w:p w14:paraId="7363A1BC" w14:textId="77777777" w:rsidR="008C75AB" w:rsidRPr="00161ABB" w:rsidRDefault="008C75AB" w:rsidP="008C75AB">
      <w:pPr>
        <w:numPr>
          <w:ilvl w:val="0"/>
          <w:numId w:val="13"/>
        </w:numPr>
      </w:pPr>
      <w:r w:rsidRPr="00161ABB">
        <w:t>«Welche privaten Akteure profitieren konkret von der Teilrevision?»</w:t>
      </w:r>
    </w:p>
    <w:p w14:paraId="50408BAD" w14:textId="77777777" w:rsidR="008C75AB" w:rsidRPr="00161ABB" w:rsidRDefault="008C75AB" w:rsidP="008C75AB">
      <w:pPr>
        <w:numPr>
          <w:ilvl w:val="0"/>
          <w:numId w:val="13"/>
        </w:numPr>
      </w:pPr>
      <w:r w:rsidRPr="00161ABB">
        <w:t>«Welche Interessenkonflikte wurden im Gesetzgebungsprozess offengelegt?»</w:t>
      </w:r>
    </w:p>
    <w:p w14:paraId="573B58B8" w14:textId="77777777" w:rsidR="008C75AB" w:rsidRPr="00161ABB" w:rsidRDefault="008C75AB" w:rsidP="008C75AB">
      <w:pPr>
        <w:numPr>
          <w:ilvl w:val="0"/>
          <w:numId w:val="13"/>
        </w:numPr>
      </w:pPr>
      <w:r w:rsidRPr="00161ABB">
        <w:t xml:space="preserve">«Warum wurden </w:t>
      </w:r>
      <w:r>
        <w:t xml:space="preserve">keine </w:t>
      </w:r>
      <w:r w:rsidRPr="00161ABB">
        <w:t>Alternativen geprüft, die weniger eingriffsintensiv gewesen wären?»</w:t>
      </w:r>
    </w:p>
    <w:p w14:paraId="1AC761C3" w14:textId="77777777" w:rsidR="008C75AB" w:rsidRPr="00161ABB" w:rsidRDefault="008C75AB" w:rsidP="008C75AB">
      <w:pPr>
        <w:numPr>
          <w:ilvl w:val="0"/>
          <w:numId w:val="13"/>
        </w:numPr>
      </w:pPr>
      <w:r w:rsidRPr="00161ABB">
        <w:t>«Welche Lobbykontakte fanden im Vorfeld der Revision statt?»</w:t>
      </w:r>
    </w:p>
    <w:p w14:paraId="6DFE444A" w14:textId="77777777" w:rsidR="008C75AB" w:rsidRDefault="008C75AB" w:rsidP="008C75AB">
      <w:pPr>
        <w:numPr>
          <w:ilvl w:val="0"/>
          <w:numId w:val="13"/>
        </w:numPr>
      </w:pPr>
      <w:r w:rsidRPr="00161ABB">
        <w:t>«Warum wird technologische Machbarkeit über grundrechtliche Zurückhaltung gestellt?»</w:t>
      </w:r>
    </w:p>
    <w:p w14:paraId="4E8EAB8A" w14:textId="77777777" w:rsidR="008C75AB" w:rsidRPr="00DE4EEC" w:rsidRDefault="008C75AB" w:rsidP="008C75AB">
      <w:pPr>
        <w:rPr>
          <w:b/>
          <w:bCs/>
          <w:color w:val="4472C4" w:themeColor="accent1"/>
        </w:rPr>
      </w:pPr>
      <w:r w:rsidRPr="00DE4EEC">
        <w:rPr>
          <w:b/>
          <w:bCs/>
          <w:color w:val="4472C4" w:themeColor="accent1"/>
        </w:rPr>
        <w:t>F. Interessenkonflikte, Lobbying &amp; kommunale Abhängigkeiten</w:t>
      </w:r>
    </w:p>
    <w:p w14:paraId="5257B342" w14:textId="77777777" w:rsidR="008C75AB" w:rsidRPr="00DE4EEC" w:rsidRDefault="008C75AB" w:rsidP="008C75AB">
      <w:pPr>
        <w:rPr>
          <w:b/>
          <w:bCs/>
        </w:rPr>
      </w:pPr>
      <w:r w:rsidRPr="00DE4EEC">
        <w:rPr>
          <w:b/>
          <w:bCs/>
        </w:rPr>
        <w:t>Argumentative Bausteine</w:t>
      </w:r>
    </w:p>
    <w:p w14:paraId="0984DAEC" w14:textId="77777777" w:rsidR="008C75AB" w:rsidRPr="00DE4EEC" w:rsidRDefault="008C75AB" w:rsidP="008C75AB">
      <w:pPr>
        <w:numPr>
          <w:ilvl w:val="0"/>
          <w:numId w:val="14"/>
        </w:numPr>
      </w:pPr>
      <w:r w:rsidRPr="00DE4EEC">
        <w:t xml:space="preserve">«Bei Infrastrukturprojekten im Telekommunikationsbereich bestehen </w:t>
      </w:r>
      <w:proofErr w:type="spellStart"/>
      <w:r w:rsidRPr="00DE4EEC">
        <w:t>erfahrungsgemäss</w:t>
      </w:r>
      <w:proofErr w:type="spellEnd"/>
      <w:r w:rsidRPr="00DE4EEC">
        <w:t xml:space="preserve"> enge Verflechtungen zwischen Anbietern, Gemeinden und politischen Entscheidungsträgern.»</w:t>
      </w:r>
    </w:p>
    <w:p w14:paraId="48CF5172" w14:textId="77777777" w:rsidR="008C75AB" w:rsidRPr="00DE4EEC" w:rsidRDefault="008C75AB" w:rsidP="008C75AB">
      <w:pPr>
        <w:numPr>
          <w:ilvl w:val="0"/>
          <w:numId w:val="14"/>
        </w:numPr>
      </w:pPr>
      <w:r w:rsidRPr="00DE4EEC">
        <w:t xml:space="preserve">«Je komplexer und technischer ein Projekt ist, desto </w:t>
      </w:r>
      <w:proofErr w:type="spellStart"/>
      <w:r w:rsidRPr="00DE4EEC">
        <w:t>grösser</w:t>
      </w:r>
      <w:proofErr w:type="spellEnd"/>
      <w:r w:rsidRPr="00DE4EEC">
        <w:t xml:space="preserve"> wird die Abhängigkeit der öffentlichen Hand von externen Anbietern inklusive deren Beratungs- und Unterstützungsleistungen.»</w:t>
      </w:r>
    </w:p>
    <w:p w14:paraId="547467B7" w14:textId="77777777" w:rsidR="008C75AB" w:rsidRPr="00DE4EEC" w:rsidRDefault="008C75AB" w:rsidP="008C75AB">
      <w:pPr>
        <w:numPr>
          <w:ilvl w:val="0"/>
          <w:numId w:val="14"/>
        </w:numPr>
      </w:pPr>
      <w:r w:rsidRPr="00DE4EEC">
        <w:lastRenderedPageBreak/>
        <w:t>«Wo wirtschaftliche Interessen, sicherheitsrelevante Technologien und politische Entscheide zusammentreffen, braucht es maximale Transparenz</w:t>
      </w:r>
      <w:r>
        <w:t xml:space="preserve">, </w:t>
      </w:r>
      <w:r w:rsidRPr="00DE4EEC">
        <w:t>nicht beschleunigte Gesetzgebung.»</w:t>
      </w:r>
    </w:p>
    <w:p w14:paraId="10BBC780" w14:textId="77777777" w:rsidR="008C75AB" w:rsidRPr="00DE4EEC" w:rsidRDefault="008C75AB" w:rsidP="008C75AB">
      <w:pPr>
        <w:numPr>
          <w:ilvl w:val="0"/>
          <w:numId w:val="14"/>
        </w:numPr>
      </w:pPr>
      <w:r w:rsidRPr="00DE4EEC">
        <w:t>«Die Teilrevision schafft neue Märkte und neue Abhängigkeiten, ohne die Frage von Interessenkonflikten systematisch zu adressieren.»</w:t>
      </w:r>
    </w:p>
    <w:p w14:paraId="0EE1422F" w14:textId="77777777" w:rsidR="008C75AB" w:rsidRPr="00DE4EEC" w:rsidRDefault="008C75AB" w:rsidP="008C75AB">
      <w:pPr>
        <w:numPr>
          <w:ilvl w:val="0"/>
          <w:numId w:val="14"/>
        </w:numPr>
      </w:pPr>
      <w:r w:rsidRPr="00DE4EEC">
        <w:t>«Fehlende Offenlegungspflichten untergraben das Vertrauen in staatliche Entscheidungen auf Gemeinde- und Kantonsebene.»</w:t>
      </w:r>
    </w:p>
    <w:p w14:paraId="72B4BFE4" w14:textId="77777777" w:rsidR="008C75AB" w:rsidRPr="00DE4EEC" w:rsidRDefault="008C75AB" w:rsidP="008C75AB">
      <w:pPr>
        <w:rPr>
          <w:b/>
          <w:bCs/>
        </w:rPr>
      </w:pPr>
      <w:r w:rsidRPr="00DE4EEC">
        <w:rPr>
          <w:b/>
          <w:bCs/>
        </w:rPr>
        <w:t>Die entscheidenden Fragen</w:t>
      </w:r>
    </w:p>
    <w:p w14:paraId="1B327E39" w14:textId="77777777" w:rsidR="008C75AB" w:rsidRPr="00DE4EEC" w:rsidRDefault="008C75AB" w:rsidP="008C75AB">
      <w:pPr>
        <w:numPr>
          <w:ilvl w:val="0"/>
          <w:numId w:val="15"/>
        </w:numPr>
      </w:pPr>
      <w:r w:rsidRPr="00DE4EEC">
        <w:t>«Welche finanziellen oder sachlichen Leistungen haben Telekom- oder Ausrüstungsanbieter in den letzten fünf Jahren gegenüber Gemeinden, kantonalen Stellen oder gemeindenahen Organisationen erbracht?»</w:t>
      </w:r>
    </w:p>
    <w:p w14:paraId="7B2115DD" w14:textId="77777777" w:rsidR="008C75AB" w:rsidRPr="00DE4EEC" w:rsidRDefault="008C75AB" w:rsidP="008C75AB">
      <w:pPr>
        <w:numPr>
          <w:ilvl w:val="0"/>
          <w:numId w:val="15"/>
        </w:numPr>
      </w:pPr>
      <w:r w:rsidRPr="00DE4EEC">
        <w:t>«Welche Transparenz- und Offenlegungspflichten gelten für Gemeinden bei der Zusammenarbeit mit Anbietern im Bereich Überwachungstechnologie?»</w:t>
      </w:r>
    </w:p>
    <w:p w14:paraId="3F50B23A" w14:textId="77777777" w:rsidR="008C75AB" w:rsidRPr="00DE4EEC" w:rsidRDefault="008C75AB" w:rsidP="008C75AB">
      <w:pPr>
        <w:numPr>
          <w:ilvl w:val="0"/>
          <w:numId w:val="15"/>
        </w:numPr>
      </w:pPr>
      <w:r w:rsidRPr="00DE4EEC">
        <w:t>«Wie wird ausgeschlossen, dass politische Entscheide durch wirtschaftliche Abhängigkeiten oder indirekte Einflussnahme verzerrt werden?»</w:t>
      </w:r>
    </w:p>
    <w:p w14:paraId="15D22720" w14:textId="77777777" w:rsidR="008C75AB" w:rsidRPr="00DE4EEC" w:rsidRDefault="008C75AB" w:rsidP="008C75AB">
      <w:pPr>
        <w:numPr>
          <w:ilvl w:val="0"/>
          <w:numId w:val="15"/>
        </w:numPr>
      </w:pPr>
      <w:r w:rsidRPr="00DE4EEC">
        <w:t>«Weshalb enthält die Teilrevision keine expliziten Regeln zur Vermeidung von Interessenkonflikten bei der technischen Umsetzung?»</w:t>
      </w:r>
    </w:p>
    <w:p w14:paraId="3A33B81D" w14:textId="77777777" w:rsidR="008C75AB" w:rsidRPr="00DE4EEC" w:rsidRDefault="008C75AB" w:rsidP="008C75AB">
      <w:pPr>
        <w:numPr>
          <w:ilvl w:val="0"/>
          <w:numId w:val="15"/>
        </w:numPr>
      </w:pPr>
      <w:r w:rsidRPr="00DE4EEC">
        <w:t>«Ist der Bundesrat bereit, sämtliche Kontakte, Förderungen, Pilotprojekte und Kooperationen mit Anbietern im Zusammenhang mit dieser Revision offenzulegen?»</w:t>
      </w:r>
    </w:p>
    <w:p w14:paraId="6D2B00EE" w14:textId="77777777" w:rsidR="008C75AB" w:rsidRPr="00980F2D" w:rsidRDefault="008C75AB" w:rsidP="008C75AB">
      <w:pPr>
        <w:rPr>
          <w:b/>
          <w:bCs/>
        </w:rPr>
      </w:pPr>
      <w:r w:rsidRPr="00980F2D">
        <w:rPr>
          <w:b/>
          <w:bCs/>
        </w:rPr>
        <w:t>3. Forderungs- und Schlussbausteine</w:t>
      </w:r>
    </w:p>
    <w:p w14:paraId="25CFA6D8" w14:textId="77777777" w:rsidR="008C75AB" w:rsidRDefault="008C75AB" w:rsidP="008C75AB">
      <w:r w:rsidRPr="00980F2D">
        <w:t>«Ich fordere, die Teilrevision des Fernmeldegesetzes in dieser Form zu sistieren und einer grundsätzlichen demokratischen Neubewertung zu unterziehen.»</w:t>
      </w:r>
    </w:p>
    <w:p w14:paraId="2A407407" w14:textId="77777777" w:rsidR="008C75AB" w:rsidRPr="00980F2D" w:rsidRDefault="008C75AB" w:rsidP="008C75AB">
      <w:r w:rsidRPr="00980F2D">
        <w:t>«Ich erwarte, dass diese Teilrevision zurückgewiesen oder grundlegend überarbeitet wird. Grundrechte sind kein Reparaturbetrieb. Sie müssen vor dem Eingriff geschützt werden</w:t>
      </w:r>
      <w:r>
        <w:t>,</w:t>
      </w:r>
      <w:r w:rsidRPr="00980F2D">
        <w:t xml:space="preserve"> nicht danach.»</w:t>
      </w:r>
    </w:p>
    <w:p w14:paraId="05AFF5EE" w14:textId="77777777" w:rsidR="008C75AB" w:rsidRPr="00980F2D" w:rsidRDefault="008C75AB" w:rsidP="008C75AB">
      <w:r w:rsidRPr="00980F2D">
        <w:t xml:space="preserve">«Mindestens erforderlich ist eine echte, ergebnisoffene Vernehmlassung mit nachvollziehbarer Begründung der Notwendigkeit und </w:t>
      </w:r>
      <w:proofErr w:type="spellStart"/>
      <w:r w:rsidRPr="00980F2D">
        <w:t>Verhältnismässigkeit</w:t>
      </w:r>
      <w:proofErr w:type="spellEnd"/>
      <w:r w:rsidRPr="00980F2D">
        <w:t xml:space="preserve"> der vorgesehenen </w:t>
      </w:r>
      <w:proofErr w:type="spellStart"/>
      <w:r w:rsidRPr="00980F2D">
        <w:t>Massnahmen</w:t>
      </w:r>
      <w:proofErr w:type="spellEnd"/>
      <w:r w:rsidRPr="00980F2D">
        <w:t>.»</w:t>
      </w:r>
    </w:p>
    <w:p w14:paraId="4A7A6694" w14:textId="77777777" w:rsidR="008C75AB" w:rsidRPr="00980F2D" w:rsidRDefault="008C75AB" w:rsidP="008C75AB">
      <w:r w:rsidRPr="00980F2D">
        <w:t>«Sollte an der Vorlage festgehalten werden, ist eine Volksabstimmung zwingend. Eingriffe dieser Tragweite dürfen nicht ohne direkte demokratische Legitimation erfolgen.»</w:t>
      </w:r>
    </w:p>
    <w:p w14:paraId="54BE21AB" w14:textId="77777777" w:rsidR="008C75AB" w:rsidRPr="00980F2D" w:rsidRDefault="008C75AB" w:rsidP="008C75AB">
      <w:pPr>
        <w:rPr>
          <w:b/>
          <w:bCs/>
        </w:rPr>
      </w:pPr>
      <w:r w:rsidRPr="00980F2D">
        <w:rPr>
          <w:b/>
          <w:bCs/>
        </w:rPr>
        <w:t>Schlussbemerkung</w:t>
      </w:r>
    </w:p>
    <w:p w14:paraId="1D1E7829" w14:textId="77777777" w:rsidR="008C75AB" w:rsidRDefault="008C75AB" w:rsidP="008C75AB">
      <w:r w:rsidRPr="00A52881">
        <w:t>AKTION 10 richtet sich nicht gegen Technik, sondern gegen Machtverschiebung ohne Kontrolle. Nicht gegen Digitalisierung, sondern gegen Demokratieabbau im Gewand des Fortschritts.</w:t>
      </w:r>
    </w:p>
    <w:p w14:paraId="34F48AF9" w14:textId="77777777" w:rsidR="008C75AB" w:rsidRDefault="008C75AB" w:rsidP="008C75AB">
      <w:r w:rsidRPr="00A52881">
        <w:t>Wer jetzt schweigt, akzeptiert. Wer schreibt, nutzt eines der letzten wirksamen Instrumente demokratischer Gegenwehr.</w:t>
      </w:r>
    </w:p>
    <w:p w14:paraId="65D48B4A" w14:textId="77777777" w:rsidR="009A7174" w:rsidRPr="00A71F48" w:rsidRDefault="009A7174" w:rsidP="009A7174">
      <w:pPr>
        <w:rPr>
          <w:rFonts w:ascii="Source Sans Pro" w:hAnsi="Source Sans Pro"/>
        </w:rPr>
      </w:pPr>
    </w:p>
    <w:sectPr w:rsidR="009A7174" w:rsidRPr="00A71F48" w:rsidSect="009A7174">
      <w:headerReference w:type="default" r:id="rId7"/>
      <w:footerReference w:type="default" r:id="rId8"/>
      <w:pgSz w:w="11906" w:h="16838"/>
      <w:pgMar w:top="2099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DF95D" w14:textId="77777777" w:rsidR="008C75AB" w:rsidRDefault="008C75AB" w:rsidP="00A51FE6">
      <w:pPr>
        <w:spacing w:after="0" w:line="240" w:lineRule="auto"/>
      </w:pPr>
      <w:r>
        <w:separator/>
      </w:r>
    </w:p>
  </w:endnote>
  <w:endnote w:type="continuationSeparator" w:id="0">
    <w:p w14:paraId="58D5138D" w14:textId="77777777" w:rsidR="008C75AB" w:rsidRDefault="008C75AB" w:rsidP="00A51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Source Sans Pro" w:hAnsi="Source Sans Pro"/>
        <w:sz w:val="18"/>
        <w:szCs w:val="18"/>
      </w:rPr>
      <w:id w:val="-1676571794"/>
      <w:docPartObj>
        <w:docPartGallery w:val="Page Numbers (Bottom of Page)"/>
        <w:docPartUnique/>
      </w:docPartObj>
    </w:sdtPr>
    <w:sdtEndPr/>
    <w:sdtContent>
      <w:p w14:paraId="66F19437" w14:textId="77777777" w:rsidR="00A51FE6" w:rsidRPr="007836EC" w:rsidRDefault="007836EC" w:rsidP="009A7174">
        <w:pPr>
          <w:pStyle w:val="Fuzeile"/>
          <w:jc w:val="center"/>
          <w:rPr>
            <w:rFonts w:ascii="Source Sans Pro" w:hAnsi="Source Sans Pro"/>
            <w:sz w:val="18"/>
            <w:szCs w:val="18"/>
          </w:rPr>
        </w:pPr>
        <w:r w:rsidRPr="007836EC">
          <w:rPr>
            <w:rFonts w:ascii="Source Sans Pro" w:hAnsi="Source Sans Pro"/>
            <w:sz w:val="18"/>
            <w:szCs w:val="18"/>
          </w:rPr>
          <w:t xml:space="preserve">Schweizerischer Verein WIR, Postfach 0, 3619 </w:t>
        </w:r>
        <w:proofErr w:type="spellStart"/>
        <w:r w:rsidRPr="007836EC">
          <w:rPr>
            <w:rFonts w:ascii="Source Sans Pro" w:hAnsi="Source Sans Pro"/>
            <w:sz w:val="18"/>
            <w:szCs w:val="18"/>
          </w:rPr>
          <w:t>Eriz</w:t>
        </w:r>
        <w:proofErr w:type="spellEnd"/>
        <w:r w:rsidRPr="007836EC">
          <w:rPr>
            <w:rFonts w:ascii="Source Sans Pro" w:hAnsi="Source Sans Pro"/>
            <w:sz w:val="18"/>
            <w:szCs w:val="18"/>
          </w:rPr>
          <w:t xml:space="preserve"> BE | </w:t>
        </w:r>
        <w:hyperlink r:id="rId1" w:history="1">
          <w:r w:rsidRPr="00871ABA">
            <w:rPr>
              <w:rStyle w:val="Hyperlink"/>
              <w:rFonts w:ascii="Source Sans Pro" w:hAnsi="Source Sans Pro"/>
              <w:sz w:val="18"/>
              <w:szCs w:val="18"/>
            </w:rPr>
            <w:t>info@vereinwir.ch</w:t>
          </w:r>
        </w:hyperlink>
        <w:r w:rsidRPr="007836EC">
          <w:rPr>
            <w:rFonts w:ascii="Source Sans Pro" w:hAnsi="Source Sans Pro"/>
            <w:sz w:val="18"/>
            <w:szCs w:val="18"/>
          </w:rPr>
          <w:t xml:space="preserve"> | www.vereinwir.ch</w:t>
        </w:r>
        <w:r w:rsidRPr="007836EC">
          <w:rPr>
            <w:rFonts w:ascii="Source Sans Pro" w:hAnsi="Source Sans Pro"/>
            <w:noProof/>
            <w:sz w:val="18"/>
            <w:szCs w:val="18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7153FE57" wp14:editId="3E513CED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87231495" name="Rechteck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9B2A89" w14:textId="77777777" w:rsidR="007836EC" w:rsidRPr="007836EC" w:rsidRDefault="007836EC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595959" w:themeColor="text1" w:themeTint="A6"/>
                                </w:rPr>
                              </w:pPr>
                              <w:r w:rsidRPr="007836EC">
                                <w:rPr>
                                  <w:color w:val="595959" w:themeColor="text1" w:themeTint="A6"/>
                                </w:rPr>
                                <w:fldChar w:fldCharType="begin"/>
                              </w:r>
                              <w:r w:rsidRPr="007836EC">
                                <w:rPr>
                                  <w:color w:val="595959" w:themeColor="text1" w:themeTint="A6"/>
                                </w:rPr>
                                <w:instrText>PAGE   \* MERGEFORMAT</w:instrText>
                              </w:r>
                              <w:r w:rsidRPr="007836EC">
                                <w:rPr>
                                  <w:color w:val="595959" w:themeColor="text1" w:themeTint="A6"/>
                                </w:rPr>
                                <w:fldChar w:fldCharType="separate"/>
                              </w:r>
                              <w:r w:rsidRPr="007836EC">
                                <w:rPr>
                                  <w:color w:val="595959" w:themeColor="text1" w:themeTint="A6"/>
                                </w:rPr>
                                <w:t>2</w:t>
                              </w:r>
                              <w:r w:rsidRPr="007836EC">
                                <w:rPr>
                                  <w:color w:val="595959" w:themeColor="text1" w:themeTint="A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7153FE57" id="Rechteck 3" o:spid="_x0000_s1026" style="position:absolute;left:0;text-align:left;margin-left:0;margin-top:0;width:44.55pt;height:15.1pt;rotation:180;flip:x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4D9B2A89" w14:textId="77777777" w:rsidR="007836EC" w:rsidRPr="007836EC" w:rsidRDefault="007836EC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595959" w:themeColor="text1" w:themeTint="A6"/>
                          </w:rPr>
                        </w:pPr>
                        <w:r w:rsidRPr="007836EC">
                          <w:rPr>
                            <w:color w:val="595959" w:themeColor="text1" w:themeTint="A6"/>
                          </w:rPr>
                          <w:fldChar w:fldCharType="begin"/>
                        </w:r>
                        <w:r w:rsidRPr="007836EC">
                          <w:rPr>
                            <w:color w:val="595959" w:themeColor="text1" w:themeTint="A6"/>
                          </w:rPr>
                          <w:instrText>PAGE   \* MERGEFORMAT</w:instrText>
                        </w:r>
                        <w:r w:rsidRPr="007836EC">
                          <w:rPr>
                            <w:color w:val="595959" w:themeColor="text1" w:themeTint="A6"/>
                          </w:rPr>
                          <w:fldChar w:fldCharType="separate"/>
                        </w:r>
                        <w:r w:rsidRPr="007836EC">
                          <w:rPr>
                            <w:color w:val="595959" w:themeColor="text1" w:themeTint="A6"/>
                          </w:rPr>
                          <w:t>2</w:t>
                        </w:r>
                        <w:r w:rsidRPr="007836EC">
                          <w:rPr>
                            <w:color w:val="595959" w:themeColor="text1" w:themeTint="A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2D59B" w14:textId="77777777" w:rsidR="008C75AB" w:rsidRDefault="008C75AB" w:rsidP="00A51FE6">
      <w:pPr>
        <w:spacing w:after="0" w:line="240" w:lineRule="auto"/>
      </w:pPr>
      <w:r>
        <w:separator/>
      </w:r>
    </w:p>
  </w:footnote>
  <w:footnote w:type="continuationSeparator" w:id="0">
    <w:p w14:paraId="7FB6FF30" w14:textId="77777777" w:rsidR="008C75AB" w:rsidRDefault="008C75AB" w:rsidP="00A51F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48FAD" w14:textId="77777777" w:rsidR="00A51FE6" w:rsidRDefault="007836EC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B878CFE" wp14:editId="7A38D518">
          <wp:simplePos x="0" y="0"/>
          <wp:positionH relativeFrom="margin">
            <wp:align>center</wp:align>
          </wp:positionH>
          <wp:positionV relativeFrom="paragraph">
            <wp:posOffset>-192405</wp:posOffset>
          </wp:positionV>
          <wp:extent cx="2343150" cy="585788"/>
          <wp:effectExtent l="0" t="0" r="0" b="0"/>
          <wp:wrapNone/>
          <wp:docPr id="162028544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0285441" name="Grafik 162028544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150" cy="5857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764C1"/>
    <w:multiLevelType w:val="multilevel"/>
    <w:tmpl w:val="358CC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C22C90"/>
    <w:multiLevelType w:val="multilevel"/>
    <w:tmpl w:val="A5D8F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C7101A"/>
    <w:multiLevelType w:val="multilevel"/>
    <w:tmpl w:val="AD726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E14FA3"/>
    <w:multiLevelType w:val="multilevel"/>
    <w:tmpl w:val="E8C2F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3256FD"/>
    <w:multiLevelType w:val="hybridMultilevel"/>
    <w:tmpl w:val="BA94710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116098"/>
    <w:multiLevelType w:val="multilevel"/>
    <w:tmpl w:val="093C9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480E03"/>
    <w:multiLevelType w:val="multilevel"/>
    <w:tmpl w:val="7F928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E361D9"/>
    <w:multiLevelType w:val="multilevel"/>
    <w:tmpl w:val="22242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68A464E"/>
    <w:multiLevelType w:val="multilevel"/>
    <w:tmpl w:val="638A3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84A37FE"/>
    <w:multiLevelType w:val="multilevel"/>
    <w:tmpl w:val="9F9EF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F5C6B1B"/>
    <w:multiLevelType w:val="hybridMultilevel"/>
    <w:tmpl w:val="6352D1E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0E669F"/>
    <w:multiLevelType w:val="multilevel"/>
    <w:tmpl w:val="7A6C1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26A279F"/>
    <w:multiLevelType w:val="multilevel"/>
    <w:tmpl w:val="96BE7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9422E52"/>
    <w:multiLevelType w:val="multilevel"/>
    <w:tmpl w:val="69903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CC0236D"/>
    <w:multiLevelType w:val="multilevel"/>
    <w:tmpl w:val="66960C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15881905">
    <w:abstractNumId w:val="10"/>
  </w:num>
  <w:num w:numId="2" w16cid:durableId="1034622088">
    <w:abstractNumId w:val="4"/>
  </w:num>
  <w:num w:numId="3" w16cid:durableId="1473135757">
    <w:abstractNumId w:val="2"/>
  </w:num>
  <w:num w:numId="4" w16cid:durableId="749890335">
    <w:abstractNumId w:val="3"/>
  </w:num>
  <w:num w:numId="5" w16cid:durableId="878398164">
    <w:abstractNumId w:val="5"/>
  </w:num>
  <w:num w:numId="6" w16cid:durableId="269096220">
    <w:abstractNumId w:val="9"/>
  </w:num>
  <w:num w:numId="7" w16cid:durableId="344404550">
    <w:abstractNumId w:val="14"/>
  </w:num>
  <w:num w:numId="8" w16cid:durableId="235434462">
    <w:abstractNumId w:val="12"/>
  </w:num>
  <w:num w:numId="9" w16cid:durableId="1485194645">
    <w:abstractNumId w:val="0"/>
  </w:num>
  <w:num w:numId="10" w16cid:durableId="68161328">
    <w:abstractNumId w:val="1"/>
  </w:num>
  <w:num w:numId="11" w16cid:durableId="1816485659">
    <w:abstractNumId w:val="7"/>
  </w:num>
  <w:num w:numId="12" w16cid:durableId="773937994">
    <w:abstractNumId w:val="8"/>
  </w:num>
  <w:num w:numId="13" w16cid:durableId="375815220">
    <w:abstractNumId w:val="13"/>
  </w:num>
  <w:num w:numId="14" w16cid:durableId="1869642201">
    <w:abstractNumId w:val="6"/>
  </w:num>
  <w:num w:numId="15" w16cid:durableId="209690215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5AB"/>
    <w:rsid w:val="000C3087"/>
    <w:rsid w:val="001B1F8F"/>
    <w:rsid w:val="002600BC"/>
    <w:rsid w:val="003B7B06"/>
    <w:rsid w:val="003C7340"/>
    <w:rsid w:val="0056479E"/>
    <w:rsid w:val="00727B5C"/>
    <w:rsid w:val="007836EC"/>
    <w:rsid w:val="007861B6"/>
    <w:rsid w:val="0078739E"/>
    <w:rsid w:val="00847BC3"/>
    <w:rsid w:val="008C75AB"/>
    <w:rsid w:val="009A7174"/>
    <w:rsid w:val="00A51FE6"/>
    <w:rsid w:val="00A71F48"/>
    <w:rsid w:val="00BF264F"/>
    <w:rsid w:val="00CC5AF5"/>
    <w:rsid w:val="00F641DE"/>
    <w:rsid w:val="00FB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4E7D696"/>
  <w15:chartTrackingRefBased/>
  <w15:docId w15:val="{238EF77F-F80E-4E93-B970-33681DFEF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C75AB"/>
    <w:rPr>
      <w:kern w:val="2"/>
      <w:lang w:val="de-DE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51F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51FE6"/>
  </w:style>
  <w:style w:type="paragraph" w:styleId="Fuzeile">
    <w:name w:val="footer"/>
    <w:basedOn w:val="Standard"/>
    <w:link w:val="FuzeileZchn"/>
    <w:uiPriority w:val="99"/>
    <w:unhideWhenUsed/>
    <w:rsid w:val="00A51F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51FE6"/>
  </w:style>
  <w:style w:type="character" w:styleId="Hyperlink">
    <w:name w:val="Hyperlink"/>
    <w:basedOn w:val="Absatz-Standardschriftart"/>
    <w:uiPriority w:val="99"/>
    <w:unhideWhenUsed/>
    <w:rsid w:val="00A51FE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51FE6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9A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vereinwir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aho\Documents\Benutzerdefinierte%20Office-Vorlagen\WIR%20Brief-Vorlage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WIR Brief-Vorlage.dotx</Template>
  <TotalTime>0</TotalTime>
  <Pages>5</Pages>
  <Words>1404</Words>
  <Characters>8847</Characters>
  <Application>Microsoft Office Word</Application>
  <DocSecurity>0</DocSecurity>
  <Lines>73</Lines>
  <Paragraphs>20</Paragraphs>
  <ScaleCrop>false</ScaleCrop>
  <Company/>
  <LinksUpToDate>false</LinksUpToDate>
  <CharactersWithSpaces>10231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WIR</dc:creator>
  <cp:keywords/>
  <dc:description/>
  <cp:revision>1</cp:revision>
  <dcterms:created xsi:type="dcterms:W3CDTF">2026-01-09T08:20:00Z</dcterms:created>
  <dcterms:modified xsi:type="dcterms:W3CDTF">2026-01-09T08:22:00Z</dcterms:modified>
</cp:coreProperties>
</file>